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3C" w:rsidRPr="00246321" w:rsidRDefault="008C133C" w:rsidP="00246321">
      <w:pPr>
        <w:pStyle w:val="a4"/>
        <w:spacing w:line="28" w:lineRule="atLeast"/>
        <w:rPr>
          <w:rFonts w:asciiTheme="minorHAnsi" w:hAnsiTheme="minorHAnsi" w:cstheme="minorHAnsi"/>
          <w:sz w:val="24"/>
          <w:szCs w:val="24"/>
        </w:rPr>
      </w:pPr>
    </w:p>
    <w:tbl>
      <w:tblPr>
        <w:tblW w:w="10295" w:type="dxa"/>
        <w:jc w:val="center"/>
        <w:tblInd w:w="108" w:type="dxa"/>
        <w:tblLayout w:type="fixed"/>
        <w:tblLook w:val="0000"/>
      </w:tblPr>
      <w:tblGrid>
        <w:gridCol w:w="408"/>
        <w:gridCol w:w="4962"/>
        <w:gridCol w:w="408"/>
        <w:gridCol w:w="4109"/>
        <w:gridCol w:w="408"/>
      </w:tblGrid>
      <w:tr w:rsidR="009716A6" w:rsidRPr="00246321" w:rsidTr="00246321">
        <w:trPr>
          <w:gridAfter w:val="1"/>
          <w:wAfter w:w="408" w:type="dxa"/>
          <w:trHeight w:val="1056"/>
          <w:jc w:val="center"/>
        </w:trPr>
        <w:tc>
          <w:tcPr>
            <w:tcW w:w="5370" w:type="dxa"/>
            <w:gridSpan w:val="2"/>
            <w:shd w:val="clear" w:color="auto" w:fill="auto"/>
          </w:tcPr>
          <w:p w:rsidR="009716A6" w:rsidRPr="00246321" w:rsidRDefault="009716A6" w:rsidP="00246321">
            <w:pPr>
              <w:suppressAutoHyphens/>
              <w:spacing w:line="28" w:lineRule="atLeast"/>
              <w:rPr>
                <w:rFonts w:asciiTheme="minorHAnsi" w:eastAsia="Times New Roman" w:hAnsiTheme="minorHAnsi" w:cstheme="minorHAnsi"/>
                <w:b/>
                <w:sz w:val="24"/>
                <w:szCs w:val="24"/>
                <w:lang w:eastAsia="zh-CN"/>
              </w:rPr>
            </w:pPr>
            <w:r w:rsidRPr="00246321">
              <w:rPr>
                <w:rFonts w:asciiTheme="minorHAnsi" w:eastAsia="Times New Roman" w:hAnsiTheme="minorHAnsi" w:cstheme="minorHAnsi"/>
                <w:b/>
                <w:noProof/>
                <w:sz w:val="24"/>
                <w:szCs w:val="24"/>
                <w:lang w:val="el-GR" w:eastAsia="el-GR"/>
              </w:rPr>
              <w:drawing>
                <wp:inline distT="0" distB="0" distL="0" distR="0">
                  <wp:extent cx="858520" cy="699770"/>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8520" cy="699770"/>
                          </a:xfrm>
                          <a:prstGeom prst="rect">
                            <a:avLst/>
                          </a:prstGeom>
                          <a:solidFill>
                            <a:srgbClr val="FFFFFF"/>
                          </a:solidFill>
                          <a:ln>
                            <a:noFill/>
                          </a:ln>
                        </pic:spPr>
                      </pic:pic>
                    </a:graphicData>
                  </a:graphic>
                </wp:inline>
              </w:drawing>
            </w:r>
          </w:p>
        </w:tc>
        <w:tc>
          <w:tcPr>
            <w:tcW w:w="4517" w:type="dxa"/>
            <w:gridSpan w:val="2"/>
            <w:shd w:val="clear" w:color="auto" w:fill="auto"/>
          </w:tcPr>
          <w:p w:rsidR="009716A6" w:rsidRPr="00047BAB" w:rsidRDefault="009716A6" w:rsidP="00246321">
            <w:pPr>
              <w:suppressAutoHyphens/>
              <w:snapToGrid w:val="0"/>
              <w:spacing w:line="28" w:lineRule="atLeast"/>
              <w:jc w:val="both"/>
              <w:rPr>
                <w:rFonts w:asciiTheme="minorHAnsi" w:eastAsia="Times New Roman" w:hAnsiTheme="minorHAnsi" w:cstheme="minorHAnsi"/>
                <w:b/>
                <w:sz w:val="24"/>
                <w:szCs w:val="24"/>
                <w:lang w:eastAsia="zh-CN"/>
              </w:rPr>
            </w:pPr>
          </w:p>
          <w:p w:rsidR="009716A6" w:rsidRPr="00047BAB" w:rsidRDefault="009716A6" w:rsidP="00246321">
            <w:pPr>
              <w:suppressAutoHyphens/>
              <w:snapToGrid w:val="0"/>
              <w:spacing w:line="28" w:lineRule="atLeast"/>
              <w:jc w:val="both"/>
              <w:rPr>
                <w:rFonts w:asciiTheme="minorHAnsi" w:eastAsia="Times New Roman" w:hAnsiTheme="minorHAnsi" w:cstheme="minorHAnsi"/>
                <w:b/>
                <w:sz w:val="24"/>
                <w:szCs w:val="24"/>
                <w:lang w:eastAsia="zh-CN"/>
              </w:rPr>
            </w:pPr>
          </w:p>
          <w:p w:rsidR="009716A6" w:rsidRPr="00047BAB" w:rsidRDefault="009716A6" w:rsidP="00246321">
            <w:pPr>
              <w:suppressAutoHyphens/>
              <w:snapToGrid w:val="0"/>
              <w:spacing w:line="28" w:lineRule="atLeast"/>
              <w:jc w:val="both"/>
              <w:rPr>
                <w:rFonts w:asciiTheme="minorHAnsi" w:eastAsia="Times New Roman" w:hAnsiTheme="minorHAnsi" w:cstheme="minorHAnsi"/>
                <w:b/>
                <w:sz w:val="24"/>
                <w:szCs w:val="24"/>
                <w:lang w:eastAsia="zh-CN"/>
              </w:rPr>
            </w:pPr>
          </w:p>
          <w:p w:rsidR="009716A6" w:rsidRPr="00047BAB" w:rsidRDefault="009716A6" w:rsidP="00246321">
            <w:pPr>
              <w:suppressAutoHyphens/>
              <w:snapToGrid w:val="0"/>
              <w:spacing w:line="28" w:lineRule="atLeast"/>
              <w:jc w:val="both"/>
              <w:rPr>
                <w:rFonts w:asciiTheme="minorHAnsi" w:eastAsia="Times New Roman" w:hAnsiTheme="minorHAnsi" w:cstheme="minorHAnsi"/>
                <w:b/>
                <w:sz w:val="24"/>
                <w:szCs w:val="24"/>
                <w:lang w:val="el-GR" w:eastAsia="zh-CN"/>
              </w:rPr>
            </w:pPr>
            <w:r w:rsidRPr="00047BAB">
              <w:rPr>
                <w:rFonts w:asciiTheme="minorHAnsi" w:eastAsia="Times New Roman" w:hAnsiTheme="minorHAnsi" w:cstheme="minorHAnsi"/>
                <w:b/>
                <w:sz w:val="24"/>
                <w:szCs w:val="24"/>
                <w:lang w:val="el-GR" w:eastAsia="zh-CN"/>
              </w:rPr>
              <w:t>ΦΕΚ</w:t>
            </w:r>
            <w:r w:rsidR="003E6F5C" w:rsidRPr="00047BAB">
              <w:rPr>
                <w:rFonts w:asciiTheme="minorHAnsi" w:eastAsia="Times New Roman" w:hAnsiTheme="minorHAnsi" w:cstheme="minorHAnsi"/>
                <w:b/>
                <w:sz w:val="24"/>
                <w:szCs w:val="24"/>
                <w:lang w:eastAsia="zh-CN"/>
              </w:rPr>
              <w:t xml:space="preserve"> </w:t>
            </w:r>
            <w:r w:rsidR="003E6F5C" w:rsidRPr="00047BAB">
              <w:rPr>
                <w:rFonts w:asciiTheme="minorHAnsi" w:eastAsia="Times New Roman" w:hAnsiTheme="minorHAnsi" w:cstheme="minorHAnsi"/>
                <w:b/>
                <w:sz w:val="24"/>
                <w:szCs w:val="24"/>
                <w:lang w:val="el-GR" w:eastAsia="zh-CN"/>
              </w:rPr>
              <w:t>:  3313/Β/2017</w:t>
            </w:r>
          </w:p>
        </w:tc>
      </w:tr>
      <w:tr w:rsidR="009716A6" w:rsidRPr="00246321" w:rsidTr="00246321">
        <w:trPr>
          <w:gridBefore w:val="1"/>
          <w:wBefore w:w="408" w:type="dxa"/>
          <w:trHeight w:val="3615"/>
          <w:jc w:val="center"/>
        </w:trPr>
        <w:tc>
          <w:tcPr>
            <w:tcW w:w="5370" w:type="dxa"/>
            <w:gridSpan w:val="2"/>
            <w:shd w:val="clear" w:color="auto" w:fill="auto"/>
          </w:tcPr>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ΕΛΛΗΝΙΚΗ ΔΗΜΟΚΡΑΤΙΑ</w:t>
            </w:r>
          </w:p>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ΥΠΟΥΡΓΕΙΟ ΑΓΡΟΤΙΚΗΣ</w:t>
            </w:r>
          </w:p>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ΑΝΑΠΤΥΞΗΣ &amp; ΤΡΟΦΙΜΩΝ</w:t>
            </w:r>
          </w:p>
          <w:p w:rsidR="00006E58" w:rsidRPr="00246321" w:rsidRDefault="00006E58" w:rsidP="00246321">
            <w:pPr>
              <w:suppressAutoHyphens/>
              <w:spacing w:line="28" w:lineRule="atLeast"/>
              <w:jc w:val="both"/>
              <w:rPr>
                <w:rFonts w:asciiTheme="minorHAnsi" w:eastAsia="Times New Roman" w:hAnsiTheme="minorHAnsi" w:cstheme="minorHAnsi"/>
                <w:b/>
                <w:sz w:val="24"/>
                <w:szCs w:val="24"/>
                <w:lang w:val="el-GR" w:eastAsia="zh-CN"/>
              </w:rPr>
            </w:pPr>
          </w:p>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ΓΕΝΙΚΗ ΓΡΑΜΜΑΤΕΙΑ ΑΓΡΟΤΙΚΗΣ ΠΟΛΙΤΙΚΗΣ</w:t>
            </w:r>
          </w:p>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&amp; ΔΙΑΧΕΙΡΙΣΗΣ ΚΟΙΝΟΤΙΚΩΝ ΠΟΡΩΝ</w:t>
            </w:r>
          </w:p>
          <w:p w:rsidR="00006E58" w:rsidRPr="00246321" w:rsidRDefault="00006E58" w:rsidP="00246321">
            <w:pPr>
              <w:suppressAutoHyphens/>
              <w:spacing w:line="28" w:lineRule="atLeast"/>
              <w:jc w:val="both"/>
              <w:rPr>
                <w:rFonts w:asciiTheme="minorHAnsi" w:eastAsia="Times New Roman" w:hAnsiTheme="minorHAnsi" w:cstheme="minorHAnsi"/>
                <w:b/>
                <w:sz w:val="24"/>
                <w:szCs w:val="24"/>
                <w:lang w:val="el-GR" w:eastAsia="zh-CN"/>
              </w:rPr>
            </w:pPr>
          </w:p>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 xml:space="preserve">ΕΙΔΙΚΗ ΥΠΗΡΕΣΙΑ </w:t>
            </w:r>
            <w:r w:rsidR="003038EA" w:rsidRPr="00246321">
              <w:rPr>
                <w:rFonts w:asciiTheme="minorHAnsi" w:eastAsia="Times New Roman" w:hAnsiTheme="minorHAnsi" w:cstheme="minorHAnsi"/>
                <w:b/>
                <w:sz w:val="24"/>
                <w:szCs w:val="24"/>
                <w:lang w:val="el-GR" w:eastAsia="zh-CN"/>
              </w:rPr>
              <w:t>ΔΙΑΧΕΙΡΙΣΗΣ</w:t>
            </w:r>
          </w:p>
          <w:p w:rsidR="009716A6" w:rsidRPr="00246321" w:rsidRDefault="009716A6" w:rsidP="00246321">
            <w:pPr>
              <w:suppressAutoHyphens/>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ΠΑΑ 2014-2020</w:t>
            </w:r>
          </w:p>
          <w:p w:rsidR="00006E58" w:rsidRPr="00246321" w:rsidRDefault="00006E58" w:rsidP="00246321">
            <w:pPr>
              <w:suppressAutoHyphens/>
              <w:spacing w:line="28" w:lineRule="atLeast"/>
              <w:jc w:val="both"/>
              <w:rPr>
                <w:rFonts w:asciiTheme="minorHAnsi" w:eastAsia="Times New Roman" w:hAnsiTheme="minorHAnsi" w:cstheme="minorHAnsi"/>
                <w:b/>
                <w:sz w:val="24"/>
                <w:szCs w:val="24"/>
                <w:lang w:val="el-GR" w:eastAsia="zh-CN"/>
              </w:rPr>
            </w:pP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val="el-GR" w:eastAsia="zh-CN"/>
              </w:rPr>
            </w:pPr>
            <w:r w:rsidRPr="00246321">
              <w:rPr>
                <w:rFonts w:asciiTheme="minorHAnsi" w:eastAsia="Times New Roman" w:hAnsiTheme="minorHAnsi" w:cstheme="minorHAnsi"/>
                <w:b/>
                <w:sz w:val="24"/>
                <w:szCs w:val="24"/>
                <w:lang w:val="el-GR" w:eastAsia="zh-CN"/>
              </w:rPr>
              <w:t xml:space="preserve">ΜΟΝΑΔΑ </w:t>
            </w:r>
            <w:r w:rsidR="003038EA" w:rsidRPr="00246321">
              <w:rPr>
                <w:rFonts w:asciiTheme="minorHAnsi" w:eastAsia="Times New Roman" w:hAnsiTheme="minorHAnsi" w:cstheme="minorHAnsi"/>
                <w:b/>
                <w:sz w:val="24"/>
                <w:szCs w:val="24"/>
                <w:lang w:val="el-GR" w:eastAsia="zh-CN"/>
              </w:rPr>
              <w:t>ΠΡΟΓΡΑΜΜΑΤΙΣΜΟΥ</w:t>
            </w: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val="el-GR" w:eastAsia="zh-CN"/>
              </w:rPr>
            </w:pPr>
            <w:r w:rsidRPr="00246321">
              <w:rPr>
                <w:rFonts w:asciiTheme="minorHAnsi" w:eastAsia="Times New Roman" w:hAnsiTheme="minorHAnsi" w:cstheme="minorHAnsi"/>
                <w:sz w:val="24"/>
                <w:szCs w:val="24"/>
                <w:lang w:val="el-GR" w:eastAsia="zh-CN"/>
              </w:rPr>
              <w:t xml:space="preserve">Ταχ. Δ/νση: Λ. Αθηνών </w:t>
            </w:r>
            <w:r w:rsidR="003038EA" w:rsidRPr="00246321">
              <w:rPr>
                <w:rFonts w:asciiTheme="minorHAnsi" w:eastAsia="Times New Roman" w:hAnsiTheme="minorHAnsi" w:cstheme="minorHAnsi"/>
                <w:sz w:val="24"/>
                <w:szCs w:val="24"/>
                <w:lang w:val="el-GR" w:eastAsia="zh-CN"/>
              </w:rPr>
              <w:t>58</w:t>
            </w: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val="el-GR" w:eastAsia="zh-CN"/>
              </w:rPr>
            </w:pPr>
            <w:r w:rsidRPr="00246321">
              <w:rPr>
                <w:rFonts w:asciiTheme="minorHAnsi" w:eastAsia="Times New Roman" w:hAnsiTheme="minorHAnsi" w:cstheme="minorHAnsi"/>
                <w:sz w:val="24"/>
                <w:szCs w:val="24"/>
                <w:lang w:val="el-GR" w:eastAsia="zh-CN"/>
              </w:rPr>
              <w:t>Τ.Κ.: 104 41</w:t>
            </w: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val="el-GR" w:eastAsia="zh-CN"/>
              </w:rPr>
            </w:pPr>
            <w:r w:rsidRPr="00246321">
              <w:rPr>
                <w:rFonts w:asciiTheme="minorHAnsi" w:eastAsia="Times New Roman" w:hAnsiTheme="minorHAnsi" w:cstheme="minorHAnsi"/>
                <w:sz w:val="24"/>
                <w:szCs w:val="24"/>
                <w:lang w:val="el-GR" w:eastAsia="zh-CN"/>
              </w:rPr>
              <w:t xml:space="preserve">Πληροφορίες: </w:t>
            </w:r>
            <w:r w:rsidR="003038EA" w:rsidRPr="00246321">
              <w:rPr>
                <w:rFonts w:asciiTheme="minorHAnsi" w:eastAsia="Times New Roman" w:hAnsiTheme="minorHAnsi" w:cstheme="minorHAnsi"/>
                <w:sz w:val="24"/>
                <w:szCs w:val="24"/>
                <w:lang w:val="el-GR" w:eastAsia="zh-CN"/>
              </w:rPr>
              <w:t>Ι. Κοβάνης, Ε. Τζουμάκα</w:t>
            </w: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val="el-GR" w:eastAsia="zh-CN"/>
              </w:rPr>
            </w:pPr>
            <w:r w:rsidRPr="00246321">
              <w:rPr>
                <w:rFonts w:asciiTheme="minorHAnsi" w:eastAsia="Times New Roman" w:hAnsiTheme="minorHAnsi" w:cstheme="minorHAnsi"/>
                <w:sz w:val="24"/>
                <w:szCs w:val="24"/>
                <w:lang w:val="el-GR" w:eastAsia="zh-CN"/>
              </w:rPr>
              <w:t>Τηλέφωνο:</w:t>
            </w:r>
            <w:r w:rsidR="00116E6E" w:rsidRPr="00246321">
              <w:rPr>
                <w:rFonts w:asciiTheme="minorHAnsi" w:eastAsia="Times New Roman" w:hAnsiTheme="minorHAnsi" w:cstheme="minorHAnsi"/>
                <w:sz w:val="24"/>
                <w:szCs w:val="24"/>
                <w:lang w:val="el-GR" w:eastAsia="zh-CN"/>
              </w:rPr>
              <w:t xml:space="preserve"> </w:t>
            </w:r>
            <w:r w:rsidR="003038EA" w:rsidRPr="00246321">
              <w:rPr>
                <w:rFonts w:asciiTheme="minorHAnsi" w:eastAsia="Times New Roman" w:hAnsiTheme="minorHAnsi" w:cstheme="minorHAnsi"/>
                <w:sz w:val="24"/>
                <w:szCs w:val="24"/>
                <w:lang w:val="el-GR" w:eastAsia="zh-CN"/>
              </w:rPr>
              <w:t>210 5275074, 5275121</w:t>
            </w: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val="el-GR" w:eastAsia="zh-CN"/>
              </w:rPr>
            </w:pPr>
            <w:r w:rsidRPr="00246321">
              <w:rPr>
                <w:rFonts w:asciiTheme="minorHAnsi" w:eastAsia="Times New Roman" w:hAnsiTheme="minorHAnsi" w:cstheme="minorHAnsi"/>
                <w:sz w:val="24"/>
                <w:szCs w:val="24"/>
                <w:lang w:eastAsia="zh-CN"/>
              </w:rPr>
              <w:t>Fax</w:t>
            </w:r>
            <w:r w:rsidRPr="00246321">
              <w:rPr>
                <w:rFonts w:asciiTheme="minorHAnsi" w:eastAsia="Times New Roman" w:hAnsiTheme="minorHAnsi" w:cstheme="minorHAnsi"/>
                <w:sz w:val="24"/>
                <w:szCs w:val="24"/>
                <w:lang w:val="el-GR" w:eastAsia="zh-CN"/>
              </w:rPr>
              <w:t xml:space="preserve">: </w:t>
            </w:r>
            <w:r w:rsidR="003038EA" w:rsidRPr="00246321">
              <w:rPr>
                <w:rFonts w:asciiTheme="minorHAnsi" w:eastAsia="Times New Roman" w:hAnsiTheme="minorHAnsi" w:cstheme="minorHAnsi"/>
                <w:sz w:val="24"/>
                <w:szCs w:val="24"/>
                <w:lang w:val="el-GR" w:eastAsia="zh-CN"/>
              </w:rPr>
              <w:t>210 5275141</w:t>
            </w:r>
          </w:p>
          <w:p w:rsidR="009716A6" w:rsidRDefault="009716A6" w:rsidP="00246321">
            <w:pPr>
              <w:suppressAutoHyphens/>
              <w:spacing w:line="28" w:lineRule="atLeast"/>
              <w:jc w:val="both"/>
              <w:rPr>
                <w:rFonts w:asciiTheme="minorHAnsi" w:eastAsia="Times New Roman" w:hAnsiTheme="minorHAnsi" w:cstheme="minorHAnsi"/>
                <w:sz w:val="24"/>
                <w:szCs w:val="24"/>
                <w:lang w:val="el-GR" w:eastAsia="zh-CN"/>
              </w:rPr>
            </w:pPr>
          </w:p>
          <w:p w:rsidR="00246321" w:rsidRPr="00246321" w:rsidRDefault="00246321" w:rsidP="00246321">
            <w:pPr>
              <w:suppressAutoHyphens/>
              <w:spacing w:line="28" w:lineRule="atLeast"/>
              <w:jc w:val="both"/>
              <w:rPr>
                <w:rFonts w:asciiTheme="minorHAnsi" w:eastAsia="Times New Roman" w:hAnsiTheme="minorHAnsi" w:cstheme="minorHAnsi"/>
                <w:sz w:val="24"/>
                <w:szCs w:val="24"/>
                <w:lang w:val="el-GR" w:eastAsia="zh-CN"/>
              </w:rPr>
            </w:pPr>
          </w:p>
        </w:tc>
        <w:tc>
          <w:tcPr>
            <w:tcW w:w="4517" w:type="dxa"/>
            <w:gridSpan w:val="2"/>
            <w:shd w:val="clear" w:color="auto" w:fill="auto"/>
          </w:tcPr>
          <w:p w:rsidR="009716A6" w:rsidRPr="00D8699E" w:rsidRDefault="009716A6" w:rsidP="00246321">
            <w:pPr>
              <w:suppressAutoHyphens/>
              <w:spacing w:line="28" w:lineRule="atLeast"/>
              <w:jc w:val="both"/>
              <w:rPr>
                <w:rFonts w:asciiTheme="minorHAnsi" w:eastAsia="Times New Roman" w:hAnsiTheme="minorHAnsi" w:cstheme="minorHAnsi"/>
                <w:sz w:val="24"/>
                <w:szCs w:val="24"/>
                <w:lang w:eastAsia="zh-CN"/>
              </w:rPr>
            </w:pPr>
            <w:r w:rsidRPr="00246321">
              <w:rPr>
                <w:rFonts w:asciiTheme="minorHAnsi" w:eastAsia="Times New Roman" w:hAnsiTheme="minorHAnsi" w:cstheme="minorHAnsi"/>
                <w:sz w:val="24"/>
                <w:szCs w:val="24"/>
                <w:lang w:val="el-GR" w:eastAsia="zh-CN"/>
              </w:rPr>
              <w:t xml:space="preserve">Αθήνα, </w:t>
            </w:r>
            <w:r w:rsidR="00D8699E">
              <w:rPr>
                <w:rFonts w:asciiTheme="minorHAnsi" w:eastAsia="Times New Roman" w:hAnsiTheme="minorHAnsi" w:cstheme="minorHAnsi"/>
                <w:sz w:val="24"/>
                <w:szCs w:val="24"/>
                <w:lang w:eastAsia="zh-CN"/>
              </w:rPr>
              <w:t>13.09.2017</w:t>
            </w:r>
          </w:p>
          <w:p w:rsidR="009716A6" w:rsidRPr="00D8699E" w:rsidRDefault="009716A6" w:rsidP="00246321">
            <w:pPr>
              <w:suppressAutoHyphens/>
              <w:spacing w:line="28" w:lineRule="atLeast"/>
              <w:jc w:val="both"/>
              <w:rPr>
                <w:rFonts w:asciiTheme="minorHAnsi" w:eastAsia="Times New Roman" w:hAnsiTheme="minorHAnsi" w:cstheme="minorHAnsi"/>
                <w:b/>
                <w:sz w:val="24"/>
                <w:szCs w:val="24"/>
                <w:lang w:eastAsia="zh-CN"/>
              </w:rPr>
            </w:pPr>
            <w:r w:rsidRPr="00246321">
              <w:rPr>
                <w:rFonts w:asciiTheme="minorHAnsi" w:eastAsia="Times New Roman" w:hAnsiTheme="minorHAnsi" w:cstheme="minorHAnsi"/>
                <w:sz w:val="24"/>
                <w:szCs w:val="24"/>
                <w:lang w:val="el-GR" w:eastAsia="zh-CN"/>
              </w:rPr>
              <w:t>Αρ. Πρωτ.:</w:t>
            </w:r>
            <w:r w:rsidR="00D8699E">
              <w:rPr>
                <w:rFonts w:asciiTheme="minorHAnsi" w:eastAsia="Times New Roman" w:hAnsiTheme="minorHAnsi" w:cstheme="minorHAnsi"/>
                <w:sz w:val="24"/>
                <w:szCs w:val="24"/>
                <w:lang w:eastAsia="zh-CN"/>
              </w:rPr>
              <w:t xml:space="preserve"> 2635</w:t>
            </w:r>
          </w:p>
          <w:p w:rsidR="009716A6" w:rsidRPr="00246321" w:rsidRDefault="009716A6" w:rsidP="00246321">
            <w:pPr>
              <w:suppressAutoHyphens/>
              <w:spacing w:line="28" w:lineRule="atLeast"/>
              <w:rPr>
                <w:rFonts w:asciiTheme="minorHAnsi" w:eastAsia="Times New Roman" w:hAnsiTheme="minorHAnsi" w:cstheme="minorHAnsi"/>
                <w:b/>
                <w:sz w:val="24"/>
                <w:szCs w:val="24"/>
                <w:lang w:val="el-GR" w:eastAsia="zh-CN"/>
              </w:rPr>
            </w:pPr>
          </w:p>
          <w:p w:rsidR="009716A6" w:rsidRPr="00246321" w:rsidRDefault="009716A6" w:rsidP="00246321">
            <w:pPr>
              <w:suppressAutoHyphens/>
              <w:spacing w:line="28" w:lineRule="atLeast"/>
              <w:rPr>
                <w:rFonts w:asciiTheme="minorHAnsi" w:eastAsia="Times New Roman" w:hAnsiTheme="minorHAnsi" w:cstheme="minorHAnsi"/>
                <w:b/>
                <w:sz w:val="24"/>
                <w:szCs w:val="24"/>
                <w:lang w:val="el-GR" w:eastAsia="zh-CN"/>
              </w:rPr>
            </w:pPr>
          </w:p>
          <w:p w:rsidR="009716A6" w:rsidRPr="00246321" w:rsidRDefault="009716A6" w:rsidP="00246321">
            <w:pPr>
              <w:suppressAutoHyphens/>
              <w:spacing w:line="28" w:lineRule="atLeast"/>
              <w:rPr>
                <w:rFonts w:asciiTheme="minorHAnsi" w:eastAsia="Times New Roman" w:hAnsiTheme="minorHAnsi" w:cstheme="minorHAnsi"/>
                <w:b/>
                <w:sz w:val="24"/>
                <w:szCs w:val="24"/>
                <w:lang w:val="el-GR" w:eastAsia="zh-CN"/>
              </w:rPr>
            </w:pPr>
          </w:p>
          <w:p w:rsidR="009716A6" w:rsidRPr="00246321" w:rsidRDefault="009716A6" w:rsidP="00246321">
            <w:pPr>
              <w:suppressAutoHyphens/>
              <w:spacing w:line="28" w:lineRule="atLeast"/>
              <w:jc w:val="both"/>
              <w:rPr>
                <w:rFonts w:asciiTheme="minorHAnsi" w:eastAsia="Times New Roman" w:hAnsiTheme="minorHAnsi" w:cstheme="minorHAnsi"/>
                <w:sz w:val="24"/>
                <w:szCs w:val="24"/>
                <w:lang w:eastAsia="zh-CN"/>
              </w:rPr>
            </w:pPr>
            <w:bookmarkStart w:id="0" w:name="_GoBack"/>
            <w:bookmarkEnd w:id="0"/>
          </w:p>
        </w:tc>
      </w:tr>
    </w:tbl>
    <w:p w:rsidR="008C133C" w:rsidRPr="00246321" w:rsidRDefault="008C0452" w:rsidP="00246321">
      <w:pPr>
        <w:pStyle w:val="a4"/>
        <w:spacing w:line="28" w:lineRule="atLeast"/>
        <w:jc w:val="both"/>
        <w:rPr>
          <w:rFonts w:asciiTheme="minorHAnsi" w:eastAsia="Times New Roman" w:hAnsiTheme="minorHAnsi" w:cstheme="minorHAnsi"/>
          <w:b/>
          <w:sz w:val="24"/>
          <w:szCs w:val="24"/>
          <w:lang w:val="el-GR" w:eastAsia="zh-CN"/>
        </w:rPr>
      </w:pPr>
      <w:r w:rsidRPr="00246321">
        <w:rPr>
          <w:rFonts w:asciiTheme="minorHAnsi" w:eastAsia="Times New Roman" w:hAnsiTheme="minorHAnsi" w:cstheme="minorHAnsi"/>
          <w:b/>
          <w:sz w:val="24"/>
          <w:szCs w:val="24"/>
          <w:lang w:val="el-GR" w:eastAsia="zh-CN"/>
        </w:rPr>
        <w:t>ΘΕΜΑ: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rsidR="008C133C" w:rsidRPr="00246321" w:rsidRDefault="008C133C" w:rsidP="00246321">
      <w:pPr>
        <w:pStyle w:val="a4"/>
        <w:spacing w:line="28" w:lineRule="atLeast"/>
        <w:rPr>
          <w:rFonts w:asciiTheme="minorHAnsi" w:hAnsiTheme="minorHAnsi" w:cstheme="minorHAnsi"/>
          <w:b/>
          <w:sz w:val="24"/>
          <w:szCs w:val="24"/>
          <w:lang w:val="el-GR"/>
        </w:rPr>
      </w:pPr>
    </w:p>
    <w:p w:rsidR="008C133C" w:rsidRDefault="008C133C" w:rsidP="00246321">
      <w:pPr>
        <w:pStyle w:val="a4"/>
        <w:spacing w:before="2" w:line="28" w:lineRule="atLeast"/>
        <w:rPr>
          <w:rFonts w:asciiTheme="minorHAnsi" w:hAnsiTheme="minorHAnsi" w:cstheme="minorHAnsi"/>
          <w:b/>
          <w:color w:val="1F497D" w:themeColor="text2"/>
          <w:sz w:val="24"/>
          <w:szCs w:val="24"/>
          <w:lang w:val="el-GR"/>
        </w:rPr>
      </w:pPr>
    </w:p>
    <w:p w:rsidR="00246321" w:rsidRPr="00246321" w:rsidRDefault="00246321" w:rsidP="00246321">
      <w:pPr>
        <w:pStyle w:val="a4"/>
        <w:spacing w:before="2" w:line="28" w:lineRule="atLeast"/>
        <w:rPr>
          <w:rFonts w:asciiTheme="minorHAnsi" w:hAnsiTheme="minorHAnsi" w:cstheme="minorHAnsi"/>
          <w:b/>
          <w:color w:val="1F497D" w:themeColor="text2"/>
          <w:sz w:val="24"/>
          <w:szCs w:val="24"/>
          <w:lang w:val="el-GR"/>
        </w:rPr>
      </w:pPr>
    </w:p>
    <w:p w:rsidR="008C133C" w:rsidRPr="00246321" w:rsidRDefault="009716A6" w:rsidP="00246321">
      <w:pPr>
        <w:spacing w:before="99" w:line="28" w:lineRule="atLeast"/>
        <w:ind w:right="1595"/>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Ο ΥΠΟΥΡΓΟΣ ΑΓΡΟΤΙΚΗΣ ΑΝΑΠΤΥΞΗΣ &amp; ΤΡΟΦΙΜΩΝ</w:t>
      </w:r>
    </w:p>
    <w:p w:rsidR="00B87717" w:rsidRPr="00246321" w:rsidRDefault="00B87717" w:rsidP="00246321">
      <w:pPr>
        <w:spacing w:before="99" w:line="28" w:lineRule="atLeast"/>
        <w:ind w:right="1595"/>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ΚΑΙ Ο ΑΝΑΠΛΗΡΩΤΗΣ ΥΠΟΥΡΓΟΣ ΟΙΚΟΝΟΜΙΑΣ KAI ΑΝΑΠΤΥΞΗΣ</w:t>
      </w:r>
    </w:p>
    <w:p w:rsidR="008C133C" w:rsidRPr="00246321" w:rsidRDefault="008C133C" w:rsidP="00246321">
      <w:pPr>
        <w:pStyle w:val="a4"/>
        <w:spacing w:line="28" w:lineRule="atLeast"/>
        <w:rPr>
          <w:rFonts w:asciiTheme="minorHAnsi" w:hAnsiTheme="minorHAnsi" w:cstheme="minorHAnsi"/>
          <w:b/>
          <w:sz w:val="24"/>
          <w:szCs w:val="24"/>
          <w:lang w:val="el-GR"/>
        </w:rPr>
      </w:pPr>
    </w:p>
    <w:p w:rsidR="008C133C" w:rsidRDefault="009716A6" w:rsidP="00246321">
      <w:pPr>
        <w:pStyle w:val="a4"/>
        <w:spacing w:before="193" w:line="28" w:lineRule="atLeast"/>
        <w:rPr>
          <w:rFonts w:asciiTheme="minorHAnsi" w:hAnsiTheme="minorHAnsi" w:cstheme="minorHAnsi"/>
          <w:sz w:val="24"/>
          <w:szCs w:val="24"/>
          <w:lang w:val="el-GR"/>
        </w:rPr>
      </w:pPr>
      <w:r w:rsidRPr="00246321">
        <w:rPr>
          <w:rFonts w:asciiTheme="minorHAnsi" w:hAnsiTheme="minorHAnsi" w:cstheme="minorHAnsi"/>
          <w:sz w:val="24"/>
          <w:szCs w:val="24"/>
          <w:lang w:val="el-GR"/>
        </w:rPr>
        <w:t>Έχοντας υπόψη:</w:t>
      </w:r>
    </w:p>
    <w:p w:rsidR="00246321" w:rsidRPr="00246321" w:rsidRDefault="00246321" w:rsidP="00246321">
      <w:pPr>
        <w:pStyle w:val="a4"/>
        <w:spacing w:before="193" w:line="28" w:lineRule="atLeast"/>
        <w:rPr>
          <w:rFonts w:asciiTheme="minorHAnsi" w:hAnsiTheme="minorHAnsi" w:cstheme="minorHAnsi"/>
          <w:sz w:val="24"/>
          <w:szCs w:val="24"/>
          <w:lang w:val="el-GR"/>
        </w:rPr>
      </w:pPr>
    </w:p>
    <w:p w:rsidR="00252531" w:rsidRPr="001150FD" w:rsidRDefault="00252531" w:rsidP="001150FD">
      <w:pPr>
        <w:pStyle w:val="a5"/>
        <w:widowControl/>
        <w:numPr>
          <w:ilvl w:val="0"/>
          <w:numId w:val="50"/>
        </w:numPr>
        <w:tabs>
          <w:tab w:val="left" w:pos="363"/>
        </w:tabs>
        <w:suppressAutoHyphens/>
        <w:autoSpaceDE/>
        <w:autoSpaceDN/>
        <w:adjustRightInd w:val="0"/>
        <w:spacing w:before="120" w:after="120" w:line="28" w:lineRule="atLeast"/>
        <w:jc w:val="both"/>
        <w:rPr>
          <w:rFonts w:asciiTheme="minorHAnsi" w:hAnsiTheme="minorHAnsi" w:cstheme="minorHAnsi"/>
          <w:sz w:val="24"/>
          <w:szCs w:val="24"/>
          <w:lang w:val="el-GR"/>
        </w:rPr>
      </w:pPr>
      <w:r w:rsidRPr="001150FD">
        <w:rPr>
          <w:rFonts w:asciiTheme="minorHAnsi" w:hAnsiTheme="minorHAnsi" w:cstheme="minorHAnsi"/>
          <w:sz w:val="24"/>
          <w:szCs w:val="24"/>
          <w:lang w:val="el-GR"/>
        </w:rPr>
        <w:t xml:space="preserve">Τις διατάξεις της παραγράφου 1 του άρθρου 69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1150FD">
        <w:rPr>
          <w:rFonts w:asciiTheme="minorHAnsi" w:hAnsiTheme="minorHAnsi" w:cstheme="minorHAnsi"/>
          <w:sz w:val="24"/>
          <w:szCs w:val="24"/>
        </w:rPr>
        <w:t>L</w:t>
      </w:r>
      <w:r w:rsidRPr="001150FD">
        <w:rPr>
          <w:rFonts w:asciiTheme="minorHAnsi" w:hAnsiTheme="minorHAnsi" w:cstheme="minorHAnsi"/>
          <w:sz w:val="24"/>
          <w:szCs w:val="24"/>
          <w:lang w:val="el-GR"/>
        </w:rPr>
        <w:t xml:space="preserve"> 156/16.6.2012) στο ελληνικό δίκαιο, τροποποίηση του Ν. 3419/2005 (Α΄ 297) και άλλες διατάξεις» (Α΄265), όπως τροποποιήθηκε και ισχύει,</w:t>
      </w:r>
    </w:p>
    <w:p w:rsidR="00252531" w:rsidRPr="00246321" w:rsidRDefault="00252531" w:rsidP="001150FD">
      <w:pPr>
        <w:pStyle w:val="a7"/>
        <w:numPr>
          <w:ilvl w:val="0"/>
          <w:numId w:val="50"/>
        </w:numPr>
        <w:tabs>
          <w:tab w:val="left" w:pos="363"/>
        </w:tabs>
        <w:spacing w:after="120" w:line="28" w:lineRule="atLeast"/>
        <w:jc w:val="both"/>
        <w:rPr>
          <w:rFonts w:asciiTheme="minorHAnsi" w:hAnsiTheme="minorHAnsi" w:cstheme="minorHAnsi"/>
          <w:sz w:val="24"/>
        </w:rPr>
      </w:pPr>
      <w:r w:rsidRPr="00246321">
        <w:rPr>
          <w:rFonts w:asciiTheme="minorHAnsi" w:hAnsiTheme="minorHAnsi" w:cstheme="minorHAnsi"/>
          <w:sz w:val="24"/>
        </w:rPr>
        <w:t>Το Π.δ. 107/2014 «Οργανισμός Υπουργείου Αγροτικής Ανάπτυξης και Τροφίμων» (Α΄ 174), όπως τροποποιήθηκε με το άρθρο 45 του Ν. 4305/2014 (Α΄ 237) και ισχύει,</w:t>
      </w:r>
    </w:p>
    <w:p w:rsidR="00252531" w:rsidRPr="00246321" w:rsidRDefault="00252531" w:rsidP="001150FD">
      <w:pPr>
        <w:pStyle w:val="a7"/>
        <w:numPr>
          <w:ilvl w:val="0"/>
          <w:numId w:val="50"/>
        </w:numPr>
        <w:tabs>
          <w:tab w:val="left" w:pos="363"/>
        </w:tabs>
        <w:spacing w:after="120" w:line="28" w:lineRule="atLeast"/>
        <w:jc w:val="both"/>
        <w:rPr>
          <w:rFonts w:asciiTheme="minorHAnsi" w:hAnsiTheme="minorHAnsi" w:cstheme="minorHAnsi"/>
          <w:sz w:val="24"/>
        </w:rPr>
      </w:pPr>
      <w:r w:rsidRPr="00246321">
        <w:rPr>
          <w:rFonts w:asciiTheme="minorHAnsi" w:hAnsiTheme="minorHAnsi" w:cstheme="minorHAnsi"/>
          <w:sz w:val="24"/>
        </w:rPr>
        <w:lastRenderedPageBreak/>
        <w:t>Το Π.δ. 73/2015 «Διορισμός Αντιπροέδρου της Κυβέρνησης, Υπουργών, Αναπληρωτών Υπουργών και Υφυπουργών» (Α΄ 116).</w:t>
      </w:r>
    </w:p>
    <w:p w:rsidR="00252531" w:rsidRPr="00246321" w:rsidRDefault="00252531" w:rsidP="001150FD">
      <w:pPr>
        <w:pStyle w:val="a7"/>
        <w:numPr>
          <w:ilvl w:val="0"/>
          <w:numId w:val="50"/>
        </w:numPr>
        <w:tabs>
          <w:tab w:val="left" w:pos="363"/>
        </w:tabs>
        <w:spacing w:after="120" w:line="28" w:lineRule="atLeast"/>
        <w:jc w:val="both"/>
        <w:rPr>
          <w:rFonts w:asciiTheme="minorHAnsi" w:hAnsiTheme="minorHAnsi" w:cstheme="minorHAnsi"/>
          <w:sz w:val="24"/>
        </w:rPr>
      </w:pPr>
      <w:r w:rsidRPr="00246321">
        <w:rPr>
          <w:rFonts w:asciiTheme="minorHAnsi" w:hAnsiTheme="minorHAnsi" w:cstheme="minorHAnsi"/>
          <w:sz w:val="24"/>
        </w:rPr>
        <w:t>Το Π.δ. 24/2015 «Σύσταση και μετονομασία Υπουργείων, μεταφορά της Γενικής Γραμματείας Κοινωνικών Ασφαλίσεων» και ειδικότερα το άρθρο 2, (Α΄ 20) όπως ισχύει.</w:t>
      </w:r>
    </w:p>
    <w:p w:rsidR="00252531" w:rsidRPr="00246321" w:rsidRDefault="00252531" w:rsidP="001150FD">
      <w:pPr>
        <w:pStyle w:val="a7"/>
        <w:numPr>
          <w:ilvl w:val="0"/>
          <w:numId w:val="50"/>
        </w:numPr>
        <w:tabs>
          <w:tab w:val="left" w:pos="363"/>
        </w:tabs>
        <w:spacing w:after="120" w:line="28" w:lineRule="atLeast"/>
        <w:jc w:val="both"/>
        <w:rPr>
          <w:rFonts w:asciiTheme="minorHAnsi" w:hAnsiTheme="minorHAnsi" w:cstheme="minorHAnsi"/>
          <w:sz w:val="24"/>
        </w:rPr>
      </w:pPr>
      <w:r w:rsidRPr="00246321">
        <w:rPr>
          <w:rFonts w:asciiTheme="minorHAnsi" w:hAnsiTheme="minorHAnsi" w:cstheme="minorHAnsi"/>
          <w:sz w:val="24"/>
        </w:rPr>
        <w:t>Το Π.δ. 70/2015 (ΦΕΚ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rsidR="001150FD" w:rsidRDefault="00252531" w:rsidP="001150FD">
      <w:pPr>
        <w:pStyle w:val="a7"/>
        <w:numPr>
          <w:ilvl w:val="0"/>
          <w:numId w:val="50"/>
        </w:numPr>
        <w:tabs>
          <w:tab w:val="left" w:pos="363"/>
        </w:tabs>
        <w:spacing w:after="120" w:line="28" w:lineRule="atLeast"/>
        <w:jc w:val="both"/>
        <w:rPr>
          <w:rFonts w:asciiTheme="minorHAnsi" w:hAnsiTheme="minorHAnsi" w:cstheme="minorHAnsi"/>
          <w:sz w:val="24"/>
        </w:rPr>
      </w:pPr>
      <w:r w:rsidRPr="00246321">
        <w:rPr>
          <w:rFonts w:asciiTheme="minorHAnsi" w:hAnsiTheme="minorHAnsi" w:cstheme="minorHAnsi"/>
          <w:sz w:val="24"/>
        </w:rPr>
        <w:t>Την υπ’ αριθ. 24944/20-09-2016 (ΦΕΚ 3066/Β/2016) Κοινή Απόφαση του Υπουργού Οικονομίας, Ανάπτυξης και Τουρισμού και του Υπουργού Αγροτικής Ανάπτυξης και Τροφίμων με θέμα: «Αναδιάρθρωση των Ειδικών Υπηρεσιών του Προγράμματος Αγροτικής Ανάπτυξης 2014-2020».</w:t>
      </w:r>
    </w:p>
    <w:p w:rsidR="001150FD" w:rsidRPr="001150FD" w:rsidRDefault="001150FD" w:rsidP="001150FD">
      <w:pPr>
        <w:pStyle w:val="a7"/>
        <w:numPr>
          <w:ilvl w:val="0"/>
          <w:numId w:val="50"/>
        </w:numPr>
        <w:tabs>
          <w:tab w:val="left" w:pos="363"/>
        </w:tabs>
        <w:spacing w:after="120" w:line="28" w:lineRule="atLeast"/>
        <w:jc w:val="both"/>
        <w:rPr>
          <w:rFonts w:asciiTheme="minorHAnsi" w:hAnsiTheme="minorHAnsi" w:cstheme="minorHAnsi"/>
          <w:sz w:val="24"/>
        </w:rPr>
      </w:pPr>
      <w:r w:rsidRPr="001150FD">
        <w:rPr>
          <w:rFonts w:asciiTheme="minorHAnsi" w:hAnsiTheme="minorHAnsi" w:cstheme="minorHAnsi"/>
          <w:sz w:val="24"/>
        </w:rPr>
        <w:t>Της υπ’ αριθ Υ197/16-11-2016 απόφαση του Πρωθυπουργού «Ανάθεση αρμοδιοτήτων στον Αναπληρωτή Υπουργό Οικονομίας και Ανάπτυξης Αλέξανδρο Χαρίτση» (ΦΕΚ Β 3722) όπως τροποποιήθηκε με την υπ’αρ. Υ226 απόφαση του Πρωθυπουργού (Β’ 4233).</w:t>
      </w:r>
    </w:p>
    <w:p w:rsidR="00FB7283" w:rsidRPr="001150FD" w:rsidRDefault="00672692"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eastAsia="Times New Roman" w:hAnsiTheme="minorHAnsi" w:cstheme="minorHAnsi"/>
          <w:sz w:val="24"/>
          <w:szCs w:val="24"/>
          <w:lang w:val="el-GR" w:eastAsia="zh-CN"/>
        </w:rPr>
        <w:t xml:space="preserve">Τον </w:t>
      </w:r>
      <w:r w:rsidR="00FB7283" w:rsidRPr="001150FD">
        <w:rPr>
          <w:rFonts w:asciiTheme="minorHAnsi" w:eastAsia="Times New Roman" w:hAnsiTheme="minorHAnsi" w:cstheme="minorHAnsi"/>
          <w:sz w:val="24"/>
          <w:szCs w:val="24"/>
          <w:lang w:val="el-GR" w:eastAsia="zh-CN"/>
        </w:rPr>
        <w:t>Καν. (ΕΕ) αριθ. 1303/2013 του Ευρωπαϊκού Κοινοβουλίου και του Συμβουλίου</w:t>
      </w:r>
      <w:r w:rsidRPr="001150FD">
        <w:rPr>
          <w:rFonts w:asciiTheme="minorHAnsi" w:eastAsia="Times New Roman" w:hAnsiTheme="minorHAnsi" w:cstheme="minorHAnsi"/>
          <w:sz w:val="24"/>
          <w:szCs w:val="24"/>
          <w:lang w:val="el-GR" w:eastAsia="zh-CN"/>
        </w:rPr>
        <w:t>,</w:t>
      </w:r>
      <w:r w:rsidR="00FB7283" w:rsidRPr="001150FD">
        <w:rPr>
          <w:rFonts w:asciiTheme="minorHAnsi" w:eastAsia="Times New Roman" w:hAnsiTheme="minorHAnsi" w:cstheme="minorHAnsi"/>
          <w:sz w:val="24"/>
          <w:szCs w:val="24"/>
          <w:lang w:val="el-GR" w:eastAsia="zh-CN"/>
        </w:rPr>
        <w:t xml:space="preserve">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rsidR="00FB7283" w:rsidRPr="001150FD" w:rsidRDefault="00672692"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eastAsia="Times New Roman" w:hAnsiTheme="minorHAnsi" w:cstheme="minorHAnsi"/>
          <w:sz w:val="24"/>
          <w:szCs w:val="24"/>
          <w:lang w:val="el-GR" w:eastAsia="zh-CN"/>
        </w:rPr>
        <w:t xml:space="preserve">Τον </w:t>
      </w:r>
      <w:r w:rsidR="00FB7283" w:rsidRPr="001150FD">
        <w:rPr>
          <w:rFonts w:asciiTheme="minorHAnsi" w:eastAsia="Times New Roman" w:hAnsiTheme="minorHAnsi" w:cstheme="minorHAnsi"/>
          <w:sz w:val="24"/>
          <w:szCs w:val="24"/>
          <w:lang w:val="el-GR" w:eastAsia="zh-CN"/>
        </w:rPr>
        <w:t>Καν.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και την κατάργηση του Κανονισμού (ΕΚ) αριθ.</w:t>
      </w:r>
      <w:r w:rsidR="002E6543" w:rsidRPr="001150FD">
        <w:rPr>
          <w:rFonts w:asciiTheme="minorHAnsi" w:eastAsia="Times New Roman" w:hAnsiTheme="minorHAnsi" w:cstheme="minorHAnsi"/>
          <w:sz w:val="24"/>
          <w:szCs w:val="24"/>
          <w:lang w:val="el-GR" w:eastAsia="zh-CN"/>
        </w:rPr>
        <w:t xml:space="preserve"> </w:t>
      </w:r>
      <w:r w:rsidR="00FB7283" w:rsidRPr="001150FD">
        <w:rPr>
          <w:rFonts w:asciiTheme="minorHAnsi" w:eastAsia="Times New Roman" w:hAnsiTheme="minorHAnsi" w:cstheme="minorHAnsi"/>
          <w:sz w:val="24"/>
          <w:szCs w:val="24"/>
          <w:lang w:val="el-GR" w:eastAsia="zh-CN"/>
        </w:rPr>
        <w:t>1698/2005 του Συμβουλίου.</w:t>
      </w:r>
    </w:p>
    <w:p w:rsidR="00252531" w:rsidRPr="001150FD" w:rsidRDefault="00252531"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eastAsia="Times New Roman" w:hAnsiTheme="minorHAnsi" w:cstheme="minorHAnsi"/>
          <w:sz w:val="24"/>
          <w:szCs w:val="24"/>
          <w:lang w:val="el-GR" w:eastAsia="zh-CN"/>
        </w:rPr>
        <w:t>Τον Καν. (</w:t>
      </w:r>
      <w:r w:rsidRPr="001150FD">
        <w:rPr>
          <w:rFonts w:asciiTheme="minorHAnsi" w:hAnsiTheme="minorHAnsi" w:cstheme="minorHAnsi"/>
          <w:sz w:val="24"/>
          <w:szCs w:val="24"/>
          <w:lang w:val="el-GR"/>
        </w:rPr>
        <w:t>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όπως κάθε φορά.</w:t>
      </w:r>
    </w:p>
    <w:p w:rsidR="00FB7283" w:rsidRPr="001150FD" w:rsidRDefault="002E6543"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eastAsia="Times New Roman" w:hAnsiTheme="minorHAnsi" w:cstheme="minorHAnsi"/>
          <w:sz w:val="24"/>
          <w:szCs w:val="24"/>
          <w:lang w:val="el-GR" w:eastAsia="zh-CN"/>
        </w:rPr>
        <w:t xml:space="preserve">Τον </w:t>
      </w:r>
      <w:r w:rsidR="00FB7283" w:rsidRPr="001150FD">
        <w:rPr>
          <w:rFonts w:asciiTheme="minorHAnsi" w:eastAsia="Times New Roman" w:hAnsiTheme="minorHAnsi" w:cstheme="minorHAnsi"/>
          <w:sz w:val="24"/>
          <w:szCs w:val="24"/>
          <w:lang w:val="el-GR" w:eastAsia="zh-CN"/>
        </w:rPr>
        <w:t>Καν. 6</w:t>
      </w:r>
      <w:r w:rsidR="00252531" w:rsidRPr="001150FD">
        <w:rPr>
          <w:rFonts w:asciiTheme="minorHAnsi" w:eastAsia="Times New Roman" w:hAnsiTheme="minorHAnsi" w:cstheme="minorHAnsi"/>
          <w:sz w:val="24"/>
          <w:szCs w:val="24"/>
          <w:lang w:val="el-GR" w:eastAsia="zh-CN"/>
        </w:rPr>
        <w:t>51</w:t>
      </w:r>
      <w:r w:rsidR="00FB7283" w:rsidRPr="001150FD">
        <w:rPr>
          <w:rFonts w:asciiTheme="minorHAnsi" w:eastAsia="Times New Roman" w:hAnsiTheme="minorHAnsi" w:cstheme="minorHAnsi"/>
          <w:sz w:val="24"/>
          <w:szCs w:val="24"/>
          <w:lang w:val="el-GR" w:eastAsia="zh-CN"/>
        </w:rPr>
        <w:t xml:space="preserve">/2014 της </w:t>
      </w:r>
      <w:r w:rsidR="00252531" w:rsidRPr="001150FD">
        <w:rPr>
          <w:rFonts w:asciiTheme="minorHAnsi" w:hAnsiTheme="minorHAnsi" w:cstheme="minorHAnsi"/>
          <w:sz w:val="24"/>
          <w:szCs w:val="24"/>
          <w:lang w:val="el-GR"/>
        </w:rPr>
        <w:t xml:space="preserve">Επιτροπής  της </w:t>
      </w:r>
      <w:r w:rsidR="00FB7283" w:rsidRPr="001150FD">
        <w:rPr>
          <w:rFonts w:asciiTheme="minorHAnsi" w:eastAsia="Times New Roman" w:hAnsiTheme="minorHAnsi" w:cstheme="minorHAnsi"/>
          <w:sz w:val="24"/>
          <w:szCs w:val="24"/>
          <w:lang w:val="el-GR" w:eastAsia="zh-CN"/>
        </w:rPr>
        <w:t>1</w:t>
      </w:r>
      <w:r w:rsidR="00252531" w:rsidRPr="001150FD">
        <w:rPr>
          <w:rFonts w:asciiTheme="minorHAnsi" w:eastAsia="Times New Roman" w:hAnsiTheme="minorHAnsi" w:cstheme="minorHAnsi"/>
          <w:sz w:val="24"/>
          <w:szCs w:val="24"/>
          <w:lang w:val="el-GR" w:eastAsia="zh-CN"/>
        </w:rPr>
        <w:t>7</w:t>
      </w:r>
      <w:r w:rsidR="00FB7283" w:rsidRPr="001150FD">
        <w:rPr>
          <w:rFonts w:asciiTheme="minorHAnsi" w:eastAsia="Times New Roman" w:hAnsiTheme="minorHAnsi" w:cstheme="minorHAnsi"/>
          <w:sz w:val="24"/>
          <w:szCs w:val="24"/>
          <w:lang w:val="el-GR" w:eastAsia="zh-CN"/>
        </w:rPr>
        <w:t xml:space="preserve">ης </w:t>
      </w:r>
      <w:r w:rsidR="00252531" w:rsidRPr="001150FD">
        <w:rPr>
          <w:rFonts w:asciiTheme="minorHAnsi" w:eastAsia="Times New Roman" w:hAnsiTheme="minorHAnsi" w:cstheme="minorHAnsi"/>
          <w:sz w:val="24"/>
          <w:szCs w:val="24"/>
          <w:lang w:val="el-GR" w:eastAsia="zh-CN"/>
        </w:rPr>
        <w:t>Ιουνίου</w:t>
      </w:r>
      <w:r w:rsidR="00FB7283" w:rsidRPr="001150FD">
        <w:rPr>
          <w:rFonts w:asciiTheme="minorHAnsi" w:eastAsia="Times New Roman" w:hAnsiTheme="minorHAnsi" w:cstheme="minorHAnsi"/>
          <w:sz w:val="24"/>
          <w:szCs w:val="24"/>
          <w:lang w:val="el-GR" w:eastAsia="zh-CN"/>
        </w:rPr>
        <w:t xml:space="preserve"> 2014 για τη</w:t>
      </w:r>
      <w:r w:rsidR="00252531" w:rsidRPr="001150FD">
        <w:rPr>
          <w:rFonts w:asciiTheme="minorHAnsi" w:eastAsia="Times New Roman" w:hAnsiTheme="minorHAnsi" w:cstheme="minorHAnsi"/>
          <w:sz w:val="24"/>
          <w:szCs w:val="24"/>
          <w:lang w:val="el-GR" w:eastAsia="zh-CN"/>
        </w:rPr>
        <w:t>ν κήρυξη ορισμένων κατηγοριών ενισχύσεων ως συμβατών με την εσωτερική αγορά κατ’ εφαρμογή των άρθρων 107 και 108 της Συνθήκης</w:t>
      </w:r>
      <w:r w:rsidR="003F3F03" w:rsidRPr="001150FD">
        <w:rPr>
          <w:rFonts w:asciiTheme="minorHAnsi" w:eastAsia="Times New Roman" w:hAnsiTheme="minorHAnsi" w:cstheme="minorHAnsi"/>
          <w:sz w:val="24"/>
          <w:szCs w:val="24"/>
          <w:lang w:val="el-GR" w:eastAsia="zh-CN"/>
        </w:rPr>
        <w:t>.</w:t>
      </w:r>
      <w:r w:rsidR="00FB7283" w:rsidRPr="001150FD">
        <w:rPr>
          <w:rFonts w:asciiTheme="minorHAnsi" w:eastAsia="Times New Roman" w:hAnsiTheme="minorHAnsi" w:cstheme="minorHAnsi"/>
          <w:sz w:val="24"/>
          <w:szCs w:val="24"/>
          <w:lang w:val="el-GR" w:eastAsia="zh-CN"/>
        </w:rPr>
        <w:t xml:space="preserve"> </w:t>
      </w:r>
    </w:p>
    <w:p w:rsidR="001150FD" w:rsidRDefault="003F3F03"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eastAsia="Times New Roman" w:hAnsiTheme="minorHAnsi" w:cstheme="minorHAnsi"/>
          <w:sz w:val="24"/>
          <w:szCs w:val="24"/>
          <w:lang w:val="el-GR" w:eastAsia="zh-CN"/>
        </w:rPr>
        <w:lastRenderedPageBreak/>
        <w:t xml:space="preserve">Τον Καν. 1407/2013 της </w:t>
      </w:r>
      <w:r w:rsidRPr="001150FD">
        <w:rPr>
          <w:rFonts w:asciiTheme="minorHAnsi" w:hAnsiTheme="minorHAnsi" w:cstheme="minorHAnsi"/>
          <w:sz w:val="24"/>
          <w:szCs w:val="24"/>
          <w:lang w:val="el-GR"/>
        </w:rPr>
        <w:t xml:space="preserve">Επιτροπής  της </w:t>
      </w:r>
      <w:r w:rsidRPr="001150FD">
        <w:rPr>
          <w:rFonts w:asciiTheme="minorHAnsi" w:eastAsia="Times New Roman" w:hAnsiTheme="minorHAnsi" w:cstheme="minorHAnsi"/>
          <w:sz w:val="24"/>
          <w:szCs w:val="24"/>
          <w:lang w:val="el-GR" w:eastAsia="zh-CN"/>
        </w:rPr>
        <w:t>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rsidR="001150FD" w:rsidRDefault="002E6543"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eastAsia="Times New Roman" w:hAnsiTheme="minorHAnsi" w:cstheme="minorHAnsi"/>
          <w:sz w:val="24"/>
          <w:szCs w:val="24"/>
          <w:lang w:val="el-GR" w:eastAsia="zh-CN"/>
        </w:rPr>
        <w:t>Την υ</w:t>
      </w:r>
      <w:r w:rsidR="00FB7283" w:rsidRPr="001150FD">
        <w:rPr>
          <w:rFonts w:asciiTheme="minorHAnsi" w:eastAsia="Times New Roman" w:hAnsiTheme="minorHAnsi" w:cstheme="minorHAnsi"/>
          <w:sz w:val="24"/>
          <w:szCs w:val="24"/>
          <w:lang w:val="el-GR" w:eastAsia="zh-CN"/>
        </w:rPr>
        <w:t>π’ αριθ. C (2015) 9170/11-12-2015 Απόφαση της Επιτροπής για την έγκριση του προγράμματος Αγροτικής Ανάπτυξης της Ελλάδας για την περίοδο προγραμματισμού 2014-2020</w:t>
      </w:r>
      <w:r w:rsidR="00006E58" w:rsidRPr="001150FD">
        <w:rPr>
          <w:rFonts w:asciiTheme="minorHAnsi" w:eastAsia="Times New Roman" w:hAnsiTheme="minorHAnsi" w:cstheme="minorHAnsi"/>
          <w:sz w:val="24"/>
          <w:szCs w:val="24"/>
          <w:lang w:val="el-GR" w:eastAsia="zh-CN"/>
        </w:rPr>
        <w:t>, όπως αυτή ισχύει</w:t>
      </w:r>
      <w:r w:rsidR="00FB7283" w:rsidRPr="001150FD">
        <w:rPr>
          <w:rFonts w:asciiTheme="minorHAnsi" w:eastAsia="Times New Roman" w:hAnsiTheme="minorHAnsi" w:cstheme="minorHAnsi"/>
          <w:sz w:val="24"/>
          <w:szCs w:val="24"/>
          <w:lang w:val="el-GR" w:eastAsia="zh-CN"/>
        </w:rPr>
        <w:t xml:space="preserve">. </w:t>
      </w:r>
    </w:p>
    <w:p w:rsidR="00D734FD" w:rsidRPr="001150FD" w:rsidRDefault="00D734FD" w:rsidP="001150FD">
      <w:pPr>
        <w:pStyle w:val="a5"/>
        <w:widowControl/>
        <w:numPr>
          <w:ilvl w:val="0"/>
          <w:numId w:val="50"/>
        </w:numPr>
        <w:tabs>
          <w:tab w:val="left" w:pos="363"/>
        </w:tabs>
        <w:suppressAutoHyphens/>
        <w:autoSpaceDE/>
        <w:autoSpaceDN/>
        <w:spacing w:after="120" w:line="28" w:lineRule="atLeast"/>
        <w:jc w:val="both"/>
        <w:rPr>
          <w:rFonts w:asciiTheme="minorHAnsi" w:eastAsia="Times New Roman" w:hAnsiTheme="minorHAnsi" w:cstheme="minorHAnsi"/>
          <w:sz w:val="24"/>
          <w:szCs w:val="24"/>
          <w:lang w:val="el-GR" w:eastAsia="zh-CN"/>
        </w:rPr>
      </w:pPr>
      <w:r w:rsidRPr="001150FD">
        <w:rPr>
          <w:rFonts w:asciiTheme="minorHAnsi" w:hAnsiTheme="minorHAnsi" w:cstheme="minorHAnsi"/>
          <w:sz w:val="24"/>
          <w:szCs w:val="24"/>
          <w:lang w:val="el-GR"/>
        </w:rPr>
        <w:t>Το γεγονός ότι από την έκδοση της παρούσας δεν προκαλείται δαπάνη σε βάρος του κρατικού προϋπολογισμού.</w:t>
      </w:r>
    </w:p>
    <w:p w:rsidR="003F3F03" w:rsidRPr="00246321" w:rsidRDefault="003F3F03" w:rsidP="00246321">
      <w:pPr>
        <w:pStyle w:val="1"/>
        <w:spacing w:line="28" w:lineRule="atLeast"/>
        <w:ind w:left="0" w:right="-54"/>
        <w:jc w:val="center"/>
        <w:rPr>
          <w:rFonts w:asciiTheme="minorHAnsi" w:hAnsiTheme="minorHAnsi" w:cstheme="minorHAnsi"/>
          <w:sz w:val="24"/>
          <w:szCs w:val="24"/>
          <w:lang w:val="el-GR"/>
        </w:rPr>
      </w:pPr>
    </w:p>
    <w:p w:rsidR="0032770A" w:rsidRPr="00246321" w:rsidRDefault="0032770A" w:rsidP="00246321">
      <w:pPr>
        <w:pStyle w:val="1"/>
        <w:spacing w:line="28" w:lineRule="atLeast"/>
        <w:ind w:left="0" w:right="-54"/>
        <w:jc w:val="center"/>
        <w:rPr>
          <w:rFonts w:asciiTheme="minorHAnsi" w:hAnsiTheme="minorHAnsi" w:cstheme="minorHAnsi"/>
          <w:sz w:val="24"/>
          <w:szCs w:val="24"/>
          <w:lang w:val="el-GR"/>
        </w:rPr>
      </w:pPr>
    </w:p>
    <w:p w:rsidR="00AB371F" w:rsidRPr="00246321" w:rsidRDefault="00AB371F" w:rsidP="00246321">
      <w:pPr>
        <w:pStyle w:val="1"/>
        <w:spacing w:line="28" w:lineRule="atLeast"/>
        <w:ind w:left="0" w:right="-54"/>
        <w:jc w:val="center"/>
        <w:rPr>
          <w:rFonts w:asciiTheme="minorHAnsi" w:hAnsiTheme="minorHAnsi" w:cstheme="minorHAnsi"/>
          <w:sz w:val="24"/>
          <w:szCs w:val="24"/>
          <w:lang w:val="el-GR"/>
        </w:rPr>
      </w:pPr>
      <w:r w:rsidRPr="00246321">
        <w:rPr>
          <w:rFonts w:asciiTheme="minorHAnsi" w:hAnsiTheme="minorHAnsi" w:cstheme="minorHAnsi"/>
          <w:sz w:val="24"/>
          <w:szCs w:val="24"/>
          <w:lang w:val="el-GR"/>
        </w:rPr>
        <w:t>ΑΠΟΦΑΣΙΖ</w:t>
      </w:r>
      <w:r w:rsidR="00B87717" w:rsidRPr="00246321">
        <w:rPr>
          <w:rFonts w:asciiTheme="minorHAnsi" w:hAnsiTheme="minorHAnsi" w:cstheme="minorHAnsi"/>
          <w:sz w:val="24"/>
          <w:szCs w:val="24"/>
          <w:lang w:val="el-GR"/>
        </w:rPr>
        <w:t>ΟΥΝ</w:t>
      </w:r>
    </w:p>
    <w:p w:rsidR="00AB371F" w:rsidRPr="00246321" w:rsidRDefault="00AB371F" w:rsidP="00246321">
      <w:pPr>
        <w:pStyle w:val="1"/>
        <w:spacing w:line="28" w:lineRule="atLeast"/>
        <w:ind w:left="0" w:right="-54"/>
        <w:jc w:val="center"/>
        <w:rPr>
          <w:rFonts w:asciiTheme="minorHAnsi" w:hAnsiTheme="minorHAnsi" w:cstheme="minorHAnsi"/>
          <w:color w:val="1F497D" w:themeColor="text2"/>
          <w:sz w:val="24"/>
          <w:szCs w:val="24"/>
          <w:lang w:val="el-GR"/>
        </w:rPr>
      </w:pPr>
    </w:p>
    <w:p w:rsidR="0032770A" w:rsidRPr="00246321" w:rsidRDefault="0032770A" w:rsidP="00246321">
      <w:pPr>
        <w:pStyle w:val="1"/>
        <w:spacing w:line="28" w:lineRule="atLeast"/>
        <w:ind w:left="0" w:right="-54"/>
        <w:jc w:val="center"/>
        <w:rPr>
          <w:rFonts w:asciiTheme="minorHAnsi" w:hAnsiTheme="minorHAnsi" w:cstheme="minorHAnsi"/>
          <w:color w:val="1F497D" w:themeColor="text2"/>
          <w:sz w:val="24"/>
          <w:szCs w:val="24"/>
          <w:lang w:val="el-GR"/>
        </w:rPr>
      </w:pPr>
    </w:p>
    <w:p w:rsidR="00B54774" w:rsidRPr="00246321" w:rsidRDefault="00B54774" w:rsidP="00246321">
      <w:pPr>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Άρθρο 1</w:t>
      </w:r>
    </w:p>
    <w:p w:rsidR="00B54774" w:rsidRPr="00246321" w:rsidRDefault="00B54774" w:rsidP="00246321">
      <w:pPr>
        <w:spacing w:after="120"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Σκοπός</w:t>
      </w:r>
    </w:p>
    <w:p w:rsidR="00A71988" w:rsidRPr="00246321" w:rsidRDefault="00B54774" w:rsidP="00246321">
      <w:pPr>
        <w:adjustRightInd w:val="0"/>
        <w:spacing w:before="120"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Σκοπός της παρούσας είναι </w:t>
      </w:r>
      <w:r w:rsidR="00B87717" w:rsidRPr="00246321">
        <w:rPr>
          <w:rFonts w:asciiTheme="minorHAnsi" w:hAnsiTheme="minorHAnsi" w:cstheme="minorHAnsi"/>
          <w:sz w:val="24"/>
          <w:szCs w:val="24"/>
          <w:lang w:val="el-GR"/>
        </w:rPr>
        <w:t>ο καθορισμός των δικαιούχων, των δράσεων και υπο-δράσεων και των σχετικών ποσοστών ενίσχυσης</w:t>
      </w:r>
      <w:r w:rsidR="00006E58" w:rsidRPr="00246321">
        <w:rPr>
          <w:rFonts w:asciiTheme="minorHAnsi" w:hAnsiTheme="minorHAnsi" w:cstheme="minorHAnsi"/>
          <w:sz w:val="24"/>
          <w:szCs w:val="24"/>
          <w:lang w:val="el-GR"/>
        </w:rPr>
        <w:t>,</w:t>
      </w:r>
      <w:r w:rsidR="00B87717" w:rsidRPr="00246321">
        <w:rPr>
          <w:rFonts w:asciiTheme="minorHAnsi" w:hAnsiTheme="minorHAnsi" w:cstheme="minorHAnsi"/>
          <w:sz w:val="24"/>
          <w:szCs w:val="24"/>
          <w:lang w:val="el-GR"/>
        </w:rPr>
        <w:t xml:space="preserve"> </w:t>
      </w:r>
      <w:r w:rsidRPr="00246321">
        <w:rPr>
          <w:rFonts w:asciiTheme="minorHAnsi" w:hAnsiTheme="minorHAnsi" w:cstheme="minorHAnsi"/>
          <w:sz w:val="24"/>
          <w:szCs w:val="24"/>
          <w:lang w:val="el-GR"/>
        </w:rPr>
        <w:t xml:space="preserve">στο πλαίσιο του υπομέτρου 19.2 </w:t>
      </w:r>
      <w:r w:rsidR="00006E58" w:rsidRPr="00246321">
        <w:rPr>
          <w:rFonts w:asciiTheme="minorHAnsi" w:hAnsiTheme="minorHAnsi" w:cstheme="minorHAnsi"/>
          <w:sz w:val="24"/>
          <w:szCs w:val="24"/>
          <w:lang w:val="el-GR"/>
        </w:rPr>
        <w:t>«Στήριξη υλοποίησης δράσεων των στρατηγικών Τοπικής Ανάπτυξης με Πρωτοβουλία Τοπικών Κοινοτήτων (CLLD/LEADER)»</w:t>
      </w:r>
      <w:r w:rsidRPr="00246321">
        <w:rPr>
          <w:rFonts w:asciiTheme="minorHAnsi" w:hAnsiTheme="minorHAnsi" w:cstheme="minorHAnsi"/>
          <w:sz w:val="24"/>
          <w:szCs w:val="24"/>
          <w:lang w:val="el-GR"/>
        </w:rPr>
        <w:t xml:space="preserve"> του Μέτρου 19 </w:t>
      </w:r>
      <w:r w:rsidR="00006E58" w:rsidRPr="00246321">
        <w:rPr>
          <w:rFonts w:asciiTheme="minorHAnsi" w:hAnsiTheme="minorHAnsi" w:cstheme="minorHAnsi"/>
          <w:sz w:val="24"/>
          <w:szCs w:val="24"/>
          <w:lang w:val="el-GR"/>
        </w:rPr>
        <w:t xml:space="preserve"> </w:t>
      </w:r>
      <w:r w:rsidRPr="00246321">
        <w:rPr>
          <w:rFonts w:asciiTheme="minorHAnsi" w:hAnsiTheme="minorHAnsi" w:cstheme="minorHAnsi"/>
          <w:sz w:val="24"/>
          <w:szCs w:val="24"/>
          <w:lang w:val="el-GR"/>
        </w:rPr>
        <w:t>του Προγράμματος Αγροτικής Ανάπτυξης 2014-2020.</w:t>
      </w:r>
    </w:p>
    <w:p w:rsidR="00006E58" w:rsidRPr="00246321" w:rsidRDefault="00006E58" w:rsidP="00246321">
      <w:pPr>
        <w:adjustRightInd w:val="0"/>
        <w:spacing w:before="120"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Στο </w:t>
      </w:r>
      <w:r w:rsidR="009D465D" w:rsidRPr="00246321">
        <w:rPr>
          <w:rFonts w:asciiTheme="minorHAnsi" w:hAnsiTheme="minorHAnsi" w:cstheme="minorHAnsi"/>
          <w:sz w:val="24"/>
          <w:szCs w:val="24"/>
          <w:lang w:val="el-GR"/>
        </w:rPr>
        <w:t xml:space="preserve">πλαίσιο του </w:t>
      </w:r>
      <w:r w:rsidR="004D49F8" w:rsidRPr="00246321">
        <w:rPr>
          <w:rFonts w:asciiTheme="minorHAnsi" w:hAnsiTheme="minorHAnsi" w:cstheme="minorHAnsi"/>
          <w:sz w:val="24"/>
          <w:szCs w:val="24"/>
          <w:lang w:val="el-GR"/>
        </w:rPr>
        <w:t xml:space="preserve">υπομέτρο </w:t>
      </w:r>
      <w:r w:rsidRPr="00246321">
        <w:rPr>
          <w:rFonts w:asciiTheme="minorHAnsi" w:hAnsiTheme="minorHAnsi" w:cstheme="minorHAnsi"/>
          <w:sz w:val="24"/>
          <w:szCs w:val="24"/>
          <w:lang w:val="el-GR"/>
        </w:rPr>
        <w:t xml:space="preserve">19.2 </w:t>
      </w:r>
      <w:r w:rsidR="009D465D" w:rsidRPr="00246321">
        <w:rPr>
          <w:rFonts w:asciiTheme="minorHAnsi" w:hAnsiTheme="minorHAnsi" w:cstheme="minorHAnsi"/>
          <w:sz w:val="24"/>
          <w:szCs w:val="24"/>
          <w:lang w:val="el-GR"/>
        </w:rPr>
        <w:t>μπορούν να υλοποιηθούν</w:t>
      </w:r>
      <w:r w:rsidRPr="00246321">
        <w:rPr>
          <w:rFonts w:asciiTheme="minorHAnsi" w:hAnsiTheme="minorHAnsi" w:cstheme="minorHAnsi"/>
          <w:sz w:val="24"/>
          <w:szCs w:val="24"/>
          <w:lang w:val="el-GR"/>
        </w:rPr>
        <w:t xml:space="preserve"> α) </w:t>
      </w:r>
      <w:r w:rsidR="004D49F8" w:rsidRPr="00246321">
        <w:rPr>
          <w:rFonts w:asciiTheme="minorHAnsi" w:hAnsiTheme="minorHAnsi" w:cstheme="minorHAnsi"/>
          <w:sz w:val="24"/>
          <w:szCs w:val="24"/>
          <w:lang w:val="el-GR"/>
        </w:rPr>
        <w:t>δ</w:t>
      </w:r>
      <w:r w:rsidRPr="00246321">
        <w:rPr>
          <w:rFonts w:asciiTheme="minorHAnsi" w:hAnsiTheme="minorHAnsi" w:cstheme="minorHAnsi"/>
          <w:sz w:val="24"/>
          <w:szCs w:val="24"/>
          <w:lang w:val="el-GR"/>
        </w:rPr>
        <w:t>ημόσιου χαρακτήρα παρεμβάσεις, οι οποίες συμβάλουν με άμεσο ή έμμεσο τρόπο στην ανάπτυξη της τοπικής οικονομίας</w:t>
      </w:r>
      <w:r w:rsidR="004D49F8" w:rsidRPr="00246321">
        <w:rPr>
          <w:rFonts w:asciiTheme="minorHAnsi" w:hAnsiTheme="minorHAnsi" w:cstheme="minorHAnsi"/>
          <w:sz w:val="24"/>
          <w:szCs w:val="24"/>
          <w:lang w:val="el-GR"/>
        </w:rPr>
        <w:t xml:space="preserve">, και </w:t>
      </w:r>
      <w:r w:rsidRPr="00246321">
        <w:rPr>
          <w:rFonts w:asciiTheme="minorHAnsi" w:hAnsiTheme="minorHAnsi" w:cstheme="minorHAnsi"/>
          <w:sz w:val="24"/>
          <w:szCs w:val="24"/>
          <w:lang w:val="el-GR"/>
        </w:rPr>
        <w:t xml:space="preserve">β) </w:t>
      </w:r>
      <w:r w:rsidR="004D49F8" w:rsidRPr="00246321">
        <w:rPr>
          <w:rFonts w:asciiTheme="minorHAnsi" w:hAnsiTheme="minorHAnsi" w:cstheme="minorHAnsi"/>
          <w:sz w:val="24"/>
          <w:szCs w:val="24"/>
          <w:lang w:val="el-GR"/>
        </w:rPr>
        <w:t>ι</w:t>
      </w:r>
      <w:r w:rsidRPr="00246321">
        <w:rPr>
          <w:rFonts w:asciiTheme="minorHAnsi" w:hAnsiTheme="minorHAnsi" w:cstheme="minorHAnsi"/>
          <w:sz w:val="24"/>
          <w:szCs w:val="24"/>
          <w:lang w:val="el-GR"/>
        </w:rPr>
        <w:t xml:space="preserve">διωτικού χαρακτήρα παρεμβάσεις, οι οποίες </w:t>
      </w:r>
      <w:r w:rsidR="004D49F8" w:rsidRPr="00246321">
        <w:rPr>
          <w:rFonts w:asciiTheme="minorHAnsi" w:hAnsiTheme="minorHAnsi" w:cstheme="minorHAnsi"/>
          <w:sz w:val="24"/>
          <w:szCs w:val="24"/>
          <w:lang w:val="el-GR"/>
        </w:rPr>
        <w:t xml:space="preserve">έχουν επιχειρηματικό χαρακτήρα και </w:t>
      </w:r>
      <w:r w:rsidRPr="00246321">
        <w:rPr>
          <w:rFonts w:asciiTheme="minorHAnsi" w:hAnsiTheme="minorHAnsi" w:cstheme="minorHAnsi"/>
          <w:sz w:val="24"/>
          <w:szCs w:val="24"/>
          <w:lang w:val="el-GR"/>
        </w:rPr>
        <w:t>συμβάλουν στην ανάπτυξη του δευτερογενή και τριτογενή τομέα της τοπικής οικονομίας</w:t>
      </w:r>
      <w:r w:rsidR="004D49F8" w:rsidRPr="00246321">
        <w:rPr>
          <w:rFonts w:asciiTheme="minorHAnsi" w:hAnsiTheme="minorHAnsi" w:cstheme="minorHAnsi"/>
          <w:sz w:val="24"/>
          <w:szCs w:val="24"/>
          <w:lang w:val="el-GR"/>
        </w:rPr>
        <w:t xml:space="preserve">. Το σύνολο των παρεμβάσεων που εντάσσονται και υλοποιούνται μέσω των τοπικών προγραμμάτων συμβάλουν </w:t>
      </w:r>
      <w:r w:rsidR="009D465D" w:rsidRPr="00246321">
        <w:rPr>
          <w:rFonts w:asciiTheme="minorHAnsi" w:hAnsiTheme="minorHAnsi" w:cstheme="minorHAnsi"/>
          <w:sz w:val="24"/>
          <w:szCs w:val="24"/>
          <w:lang w:val="el-GR"/>
        </w:rPr>
        <w:t>σ</w:t>
      </w:r>
      <w:r w:rsidR="004D49F8" w:rsidRPr="00246321">
        <w:rPr>
          <w:rFonts w:asciiTheme="minorHAnsi" w:hAnsiTheme="minorHAnsi" w:cstheme="minorHAnsi"/>
          <w:sz w:val="24"/>
          <w:szCs w:val="24"/>
          <w:lang w:val="el-GR"/>
        </w:rPr>
        <w:t xml:space="preserve">την επίτευξη </w:t>
      </w:r>
      <w:r w:rsidRPr="00246321">
        <w:rPr>
          <w:rFonts w:asciiTheme="minorHAnsi" w:hAnsiTheme="minorHAnsi" w:cstheme="minorHAnsi"/>
          <w:sz w:val="24"/>
          <w:szCs w:val="24"/>
          <w:lang w:val="el-GR"/>
        </w:rPr>
        <w:t>των στόχων της εγκεκριμένης τοπικής στρατηγικής</w:t>
      </w:r>
      <w:r w:rsidR="004D49F8" w:rsidRPr="00246321">
        <w:rPr>
          <w:rFonts w:asciiTheme="minorHAnsi" w:hAnsiTheme="minorHAnsi" w:cstheme="minorHAnsi"/>
          <w:sz w:val="24"/>
          <w:szCs w:val="24"/>
          <w:lang w:val="el-GR"/>
        </w:rPr>
        <w:t xml:space="preserve"> και είναι </w:t>
      </w:r>
      <w:r w:rsidRPr="00246321">
        <w:rPr>
          <w:rFonts w:asciiTheme="minorHAnsi" w:hAnsiTheme="minorHAnsi" w:cstheme="minorHAnsi"/>
          <w:sz w:val="24"/>
          <w:szCs w:val="24"/>
          <w:lang w:val="el-GR"/>
        </w:rPr>
        <w:t>σύμφων</w:t>
      </w:r>
      <w:r w:rsidR="009D465D" w:rsidRPr="00246321">
        <w:rPr>
          <w:rFonts w:asciiTheme="minorHAnsi" w:hAnsiTheme="minorHAnsi" w:cstheme="minorHAnsi"/>
          <w:sz w:val="24"/>
          <w:szCs w:val="24"/>
          <w:lang w:val="el-GR"/>
        </w:rPr>
        <w:t>ες</w:t>
      </w:r>
      <w:r w:rsidRPr="00246321">
        <w:rPr>
          <w:rFonts w:asciiTheme="minorHAnsi" w:hAnsiTheme="minorHAnsi" w:cstheme="minorHAnsi"/>
          <w:sz w:val="24"/>
          <w:szCs w:val="24"/>
          <w:lang w:val="el-GR"/>
        </w:rPr>
        <w:t xml:space="preserve"> με τα όσα προβλέπονται στο </w:t>
      </w:r>
      <w:r w:rsidR="004D49F8" w:rsidRPr="00246321">
        <w:rPr>
          <w:rFonts w:asciiTheme="minorHAnsi" w:hAnsiTheme="minorHAnsi" w:cstheme="minorHAnsi"/>
          <w:sz w:val="24"/>
          <w:szCs w:val="24"/>
          <w:lang w:val="el-GR"/>
        </w:rPr>
        <w:t xml:space="preserve">κάθε </w:t>
      </w:r>
      <w:r w:rsidR="009D465D" w:rsidRPr="00246321">
        <w:rPr>
          <w:rFonts w:asciiTheme="minorHAnsi" w:hAnsiTheme="minorHAnsi" w:cstheme="minorHAnsi"/>
          <w:sz w:val="24"/>
          <w:szCs w:val="24"/>
          <w:lang w:val="el-GR"/>
        </w:rPr>
        <w:t xml:space="preserve">εγκεκριμένο </w:t>
      </w:r>
      <w:r w:rsidRPr="00246321">
        <w:rPr>
          <w:rFonts w:asciiTheme="minorHAnsi" w:hAnsiTheme="minorHAnsi" w:cstheme="minorHAnsi"/>
          <w:sz w:val="24"/>
          <w:szCs w:val="24"/>
          <w:lang w:val="el-GR"/>
        </w:rPr>
        <w:t>τοπικό πρόγραμμα.</w:t>
      </w:r>
    </w:p>
    <w:p w:rsidR="00B54774" w:rsidRDefault="00B54774" w:rsidP="00246321">
      <w:pPr>
        <w:adjustRightInd w:val="0"/>
        <w:spacing w:before="120" w:after="120" w:line="28" w:lineRule="atLeast"/>
        <w:jc w:val="both"/>
        <w:rPr>
          <w:rFonts w:asciiTheme="minorHAnsi" w:hAnsiTheme="minorHAnsi" w:cstheme="minorHAnsi"/>
          <w:sz w:val="24"/>
          <w:szCs w:val="24"/>
          <w:lang w:val="el-GR"/>
        </w:rPr>
      </w:pPr>
    </w:p>
    <w:p w:rsidR="00246321" w:rsidRPr="00246321" w:rsidRDefault="00246321" w:rsidP="00246321">
      <w:pPr>
        <w:adjustRightInd w:val="0"/>
        <w:spacing w:before="120" w:after="120" w:line="28" w:lineRule="atLeast"/>
        <w:jc w:val="both"/>
        <w:rPr>
          <w:rFonts w:asciiTheme="minorHAnsi" w:hAnsiTheme="minorHAnsi" w:cstheme="minorHAnsi"/>
          <w:sz w:val="24"/>
          <w:szCs w:val="24"/>
          <w:lang w:val="el-GR"/>
        </w:rPr>
      </w:pPr>
    </w:p>
    <w:p w:rsidR="00C94778" w:rsidRPr="00246321" w:rsidRDefault="00C94778"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Άρθρο 2</w:t>
      </w:r>
    </w:p>
    <w:p w:rsidR="00C94778" w:rsidRPr="00246321" w:rsidRDefault="00C94778"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 xml:space="preserve">Δικαιούχοι </w:t>
      </w:r>
    </w:p>
    <w:p w:rsidR="00C94778" w:rsidRPr="00246321" w:rsidRDefault="00C94778" w:rsidP="00246321">
      <w:pPr>
        <w:widowControl/>
        <w:adjustRightInd w:val="0"/>
        <w:spacing w:after="120" w:line="28" w:lineRule="atLeast"/>
        <w:jc w:val="both"/>
        <w:rPr>
          <w:rFonts w:asciiTheme="minorHAnsi" w:eastAsiaTheme="minorHAnsi" w:hAnsiTheme="minorHAnsi" w:cstheme="minorHAnsi"/>
          <w:sz w:val="24"/>
          <w:szCs w:val="24"/>
          <w:lang w:val="el-GR"/>
        </w:rPr>
      </w:pPr>
      <w:r w:rsidRPr="00246321">
        <w:rPr>
          <w:rFonts w:asciiTheme="minorHAnsi" w:eastAsiaTheme="minorHAnsi" w:hAnsiTheme="minorHAnsi" w:cstheme="minorHAnsi"/>
          <w:sz w:val="24"/>
          <w:szCs w:val="24"/>
          <w:lang w:val="el-GR"/>
        </w:rPr>
        <w:t>Δικαιούχοι είναι ΟΤΑ Α &amp; Β βαθμού και φορείς τους,</w:t>
      </w:r>
      <w:r w:rsidRPr="00246321">
        <w:rPr>
          <w:rFonts w:asciiTheme="minorHAnsi" w:hAnsiTheme="minorHAnsi" w:cstheme="minorHAnsi"/>
          <w:sz w:val="24"/>
          <w:szCs w:val="24"/>
          <w:lang w:val="el-GR"/>
        </w:rPr>
        <w:t xml:space="preserve"> Φορείς Δημοσίου Τομέα,</w:t>
      </w:r>
      <w:r w:rsidRPr="00246321">
        <w:rPr>
          <w:rFonts w:asciiTheme="minorHAnsi" w:eastAsiaTheme="minorHAnsi" w:hAnsiTheme="minorHAnsi" w:cstheme="minorHAnsi"/>
          <w:sz w:val="24"/>
          <w:szCs w:val="24"/>
          <w:lang w:val="el-GR"/>
        </w:rPr>
        <w:t xml:space="preserve">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w:t>
      </w:r>
      <w:r w:rsidR="00364161" w:rsidRPr="00246321">
        <w:rPr>
          <w:rFonts w:asciiTheme="minorHAnsi" w:eastAsiaTheme="minorHAnsi" w:hAnsiTheme="minorHAnsi" w:cstheme="minorHAnsi"/>
          <w:sz w:val="24"/>
          <w:szCs w:val="24"/>
          <w:lang w:val="el-GR"/>
        </w:rPr>
        <w:t xml:space="preserve">μάδας </w:t>
      </w:r>
      <w:r w:rsidRPr="00246321">
        <w:rPr>
          <w:rFonts w:asciiTheme="minorHAnsi" w:eastAsiaTheme="minorHAnsi" w:hAnsiTheme="minorHAnsi" w:cstheme="minorHAnsi"/>
          <w:sz w:val="24"/>
          <w:szCs w:val="24"/>
          <w:lang w:val="el-GR"/>
        </w:rPr>
        <w:t>Τ</w:t>
      </w:r>
      <w:r w:rsidR="00364161" w:rsidRPr="00246321">
        <w:rPr>
          <w:rFonts w:asciiTheme="minorHAnsi" w:eastAsiaTheme="minorHAnsi" w:hAnsiTheme="minorHAnsi" w:cstheme="minorHAnsi"/>
          <w:sz w:val="24"/>
          <w:szCs w:val="24"/>
          <w:lang w:val="el-GR"/>
        </w:rPr>
        <w:t xml:space="preserve">οπικής </w:t>
      </w:r>
      <w:r w:rsidRPr="00246321">
        <w:rPr>
          <w:rFonts w:asciiTheme="minorHAnsi" w:eastAsiaTheme="minorHAnsi" w:hAnsiTheme="minorHAnsi" w:cstheme="minorHAnsi"/>
          <w:sz w:val="24"/>
          <w:szCs w:val="24"/>
          <w:lang w:val="el-GR"/>
        </w:rPr>
        <w:t>Δ</w:t>
      </w:r>
      <w:r w:rsidR="00364161" w:rsidRPr="00246321">
        <w:rPr>
          <w:rFonts w:asciiTheme="minorHAnsi" w:eastAsiaTheme="minorHAnsi" w:hAnsiTheme="minorHAnsi" w:cstheme="minorHAnsi"/>
          <w:sz w:val="24"/>
          <w:szCs w:val="24"/>
          <w:lang w:val="el-GR"/>
        </w:rPr>
        <w:t>ράσης (ΟΤΔ)</w:t>
      </w:r>
      <w:r w:rsidRPr="00246321">
        <w:rPr>
          <w:rFonts w:asciiTheme="minorHAnsi" w:eastAsiaTheme="minorHAnsi" w:hAnsiTheme="minorHAnsi" w:cstheme="minorHAnsi"/>
          <w:sz w:val="24"/>
          <w:szCs w:val="24"/>
          <w:lang w:val="el-GR"/>
        </w:rPr>
        <w:t xml:space="preserve">. </w:t>
      </w:r>
      <w:r w:rsidR="00757A67" w:rsidRPr="00246321">
        <w:rPr>
          <w:rFonts w:asciiTheme="minorHAnsi" w:hAnsiTheme="minorHAnsi" w:cstheme="minorHAnsi"/>
          <w:sz w:val="24"/>
          <w:szCs w:val="24"/>
          <w:lang w:val="el-GR"/>
        </w:rPr>
        <w:t xml:space="preserve">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C94778" w:rsidRPr="00246321" w:rsidRDefault="00C94778" w:rsidP="00246321">
      <w:pPr>
        <w:pStyle w:val="a4"/>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Στο πλαίσιο των σχετικών προσκλήσεων</w:t>
      </w:r>
      <w:r w:rsidR="00246321" w:rsidRPr="00246321">
        <w:rPr>
          <w:rFonts w:asciiTheme="minorHAnsi" w:hAnsiTheme="minorHAnsi" w:cstheme="minorHAnsi"/>
          <w:sz w:val="24"/>
          <w:szCs w:val="24"/>
          <w:lang w:val="el-GR"/>
        </w:rPr>
        <w:t>, βάσει και του σχετικού θεσμικού πλαισίου εφαρμογής,</w:t>
      </w:r>
      <w:r w:rsidRPr="00246321">
        <w:rPr>
          <w:rFonts w:asciiTheme="minorHAnsi" w:hAnsiTheme="minorHAnsi" w:cstheme="minorHAnsi"/>
          <w:sz w:val="24"/>
          <w:szCs w:val="24"/>
          <w:lang w:val="el-GR"/>
        </w:rPr>
        <w:t xml:space="preserve"> οι ΟΤΔ δύναται να εξειδικεύουν περαιτέρω τους δικαιούχους, σε επίπεδο δράσεων ή υπο-δράσεων, σε εφαρμογή της εγκεκριμένης τοπικής τους στρατηγικής.</w:t>
      </w:r>
    </w:p>
    <w:p w:rsidR="0032770A" w:rsidRDefault="0032770A" w:rsidP="00246321">
      <w:pPr>
        <w:pStyle w:val="a4"/>
        <w:spacing w:line="28" w:lineRule="atLeast"/>
        <w:jc w:val="center"/>
        <w:rPr>
          <w:rFonts w:asciiTheme="minorHAnsi" w:hAnsiTheme="minorHAnsi" w:cstheme="minorHAnsi"/>
          <w:b/>
          <w:bCs/>
          <w:sz w:val="24"/>
          <w:szCs w:val="24"/>
          <w:lang w:val="el-GR"/>
        </w:rPr>
      </w:pPr>
    </w:p>
    <w:p w:rsidR="00246321" w:rsidRPr="00246321" w:rsidRDefault="00246321" w:rsidP="00246321">
      <w:pPr>
        <w:pStyle w:val="a4"/>
        <w:spacing w:line="28" w:lineRule="atLeast"/>
        <w:jc w:val="center"/>
        <w:rPr>
          <w:rFonts w:asciiTheme="minorHAnsi" w:hAnsiTheme="minorHAnsi" w:cstheme="minorHAnsi"/>
          <w:b/>
          <w:bCs/>
          <w:sz w:val="24"/>
          <w:szCs w:val="24"/>
          <w:lang w:val="el-GR"/>
        </w:rPr>
      </w:pPr>
    </w:p>
    <w:p w:rsidR="008C133C" w:rsidRPr="00246321" w:rsidRDefault="00A75EA2"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Άρθρο 3</w:t>
      </w:r>
    </w:p>
    <w:p w:rsidR="00D35EAD" w:rsidRPr="00246321" w:rsidRDefault="004867BC"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 xml:space="preserve">Δράσεις </w:t>
      </w:r>
      <w:r w:rsidR="00C94778" w:rsidRPr="00246321">
        <w:rPr>
          <w:rFonts w:asciiTheme="minorHAnsi" w:hAnsiTheme="minorHAnsi" w:cstheme="minorHAnsi"/>
          <w:b/>
          <w:sz w:val="24"/>
          <w:szCs w:val="24"/>
          <w:lang w:val="el-GR"/>
        </w:rPr>
        <w:t xml:space="preserve">και υπο-δράσεις </w:t>
      </w:r>
      <w:r w:rsidRPr="00246321">
        <w:rPr>
          <w:rFonts w:asciiTheme="minorHAnsi" w:hAnsiTheme="minorHAnsi" w:cstheme="minorHAnsi"/>
          <w:b/>
          <w:sz w:val="24"/>
          <w:szCs w:val="24"/>
          <w:lang w:val="el-GR"/>
        </w:rPr>
        <w:t>που συγχρηματοδοτούνται στο πλαίσιο του Υπομέτρου 19.2</w:t>
      </w:r>
    </w:p>
    <w:p w:rsidR="00165934" w:rsidRPr="00246321" w:rsidRDefault="00165934" w:rsidP="00246321">
      <w:pPr>
        <w:pStyle w:val="a4"/>
        <w:tabs>
          <w:tab w:val="left" w:pos="855"/>
          <w:tab w:val="center" w:pos="4155"/>
        </w:tabs>
        <w:spacing w:after="120" w:line="28" w:lineRule="atLeast"/>
        <w:rPr>
          <w:rFonts w:asciiTheme="minorHAnsi" w:hAnsiTheme="minorHAnsi" w:cstheme="minorHAnsi"/>
          <w:b/>
          <w:sz w:val="24"/>
          <w:szCs w:val="24"/>
          <w:lang w:val="el-GR"/>
        </w:rPr>
      </w:pPr>
    </w:p>
    <w:p w:rsidR="00165934" w:rsidRPr="00246321" w:rsidRDefault="00165934" w:rsidP="00246321">
      <w:pPr>
        <w:pStyle w:val="a4"/>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Αναλυτικότερα, οι δράσεις και υπο-δράσ</w:t>
      </w:r>
      <w:r w:rsidR="00006E58" w:rsidRPr="00246321">
        <w:rPr>
          <w:rFonts w:asciiTheme="minorHAnsi" w:hAnsiTheme="minorHAnsi" w:cstheme="minorHAnsi"/>
          <w:sz w:val="24"/>
          <w:szCs w:val="24"/>
          <w:lang w:val="el-GR"/>
        </w:rPr>
        <w:t xml:space="preserve">εις που  δύναται να υλοποιηθούν, μέσω του Μ19.2 «Στήριξη υλοποίησης δράσεων των στρατηγικών Τοπικής Ανάπτυξης με Πρωτοβουλία Τοπικών Κοινοτήτων (CLLD/LEADER)» </w:t>
      </w:r>
      <w:r w:rsidRPr="00246321">
        <w:rPr>
          <w:rFonts w:asciiTheme="minorHAnsi" w:hAnsiTheme="minorHAnsi" w:cstheme="minorHAnsi"/>
          <w:sz w:val="24"/>
          <w:szCs w:val="24"/>
          <w:lang w:val="el-GR"/>
        </w:rPr>
        <w:t>είναι οι ακόλουθες:</w:t>
      </w:r>
      <w:r w:rsidRPr="00246321">
        <w:rPr>
          <w:rFonts w:asciiTheme="minorHAnsi" w:hAnsiTheme="minorHAnsi" w:cstheme="minorHAnsi"/>
          <w:sz w:val="24"/>
          <w:szCs w:val="24"/>
          <w:lang w:val="el-GR"/>
        </w:rPr>
        <w:tab/>
      </w:r>
    </w:p>
    <w:p w:rsidR="00006E58" w:rsidRDefault="00006E58" w:rsidP="00246321">
      <w:pPr>
        <w:pStyle w:val="a4"/>
        <w:spacing w:line="28" w:lineRule="atLeast"/>
        <w:jc w:val="both"/>
        <w:rPr>
          <w:rFonts w:asciiTheme="minorHAnsi" w:hAnsiTheme="minorHAnsi" w:cstheme="minorHAnsi"/>
          <w:sz w:val="24"/>
          <w:szCs w:val="24"/>
          <w:lang w:val="el-GR"/>
        </w:rPr>
      </w:pPr>
    </w:p>
    <w:p w:rsidR="00246321" w:rsidRPr="00246321" w:rsidRDefault="00246321" w:rsidP="00246321">
      <w:pPr>
        <w:pStyle w:val="a4"/>
        <w:spacing w:line="28" w:lineRule="atLeast"/>
        <w:jc w:val="both"/>
        <w:rPr>
          <w:rFonts w:asciiTheme="minorHAnsi" w:hAnsiTheme="minorHAnsi" w:cstheme="minorHAnsi"/>
          <w:sz w:val="24"/>
          <w:szCs w:val="24"/>
          <w:lang w:val="el-GR"/>
        </w:rPr>
      </w:pPr>
    </w:p>
    <w:tbl>
      <w:tblPr>
        <w:tblStyle w:val="ad"/>
        <w:tblW w:w="9072" w:type="dxa"/>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710"/>
        <w:gridCol w:w="1379"/>
        <w:gridCol w:w="6983"/>
      </w:tblGrid>
      <w:tr w:rsidR="003F3F03" w:rsidRPr="00246321" w:rsidTr="00246321">
        <w:trPr>
          <w:trHeight w:val="389"/>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rPr>
              <w:t>19.2.1 Μεταφορά γνώσεων &amp; ενημέρωσης</w:t>
            </w:r>
          </w:p>
        </w:tc>
      </w:tr>
      <w:tr w:rsidR="00165934" w:rsidRPr="003E6F5C" w:rsidTr="00246321">
        <w:trPr>
          <w:trHeight w:val="345"/>
        </w:trPr>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19.2.1.1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Μεταφορά γνώσεων &amp; ενημέρωσης στο γεωργικό και το δασικό τομέα</w:t>
            </w:r>
          </w:p>
        </w:tc>
      </w:tr>
      <w:tr w:rsidR="00165934" w:rsidRPr="003E6F5C" w:rsidTr="00246321">
        <w:trPr>
          <w:trHeight w:val="301"/>
        </w:trPr>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19.2.1.2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Μεταφορά γνώσεων &amp; ενημέρωσης σε ΜΜΕ αγροτικών περιοχών</w:t>
            </w:r>
          </w:p>
        </w:tc>
      </w:tr>
      <w:tr w:rsidR="003F3F03" w:rsidRPr="003E6F5C" w:rsidTr="00246321">
        <w:trPr>
          <w:trHeight w:val="603"/>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165934" w:rsidRPr="003E6F5C" w:rsidTr="00246321">
        <w:trPr>
          <w:trHeight w:val="896"/>
        </w:trPr>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19.2.2.1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165934" w:rsidRPr="003E6F5C" w:rsidTr="00246321">
        <w:trPr>
          <w:trHeight w:val="896"/>
        </w:trPr>
        <w:tc>
          <w:tcPr>
            <w:tcW w:w="710" w:type="dxa"/>
            <w:vMerge/>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19.2.2.2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r>
      <w:tr w:rsidR="00165934" w:rsidRPr="003E6F5C" w:rsidTr="00246321">
        <w:trPr>
          <w:trHeight w:val="77"/>
        </w:trPr>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19.2.2.3</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Ενίσχυση επενδύσεων στον τομέα του τουρισμού με σκοπό την εξυπηρέτηση ειδικών στόχων της τοπικής στρατηγικής.</w:t>
            </w:r>
          </w:p>
        </w:tc>
      </w:tr>
      <w:tr w:rsidR="00165934" w:rsidRPr="003E6F5C" w:rsidTr="00246321">
        <w:trPr>
          <w:trHeight w:val="904"/>
        </w:trPr>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19.2.2.4</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Ενίσχυση επενδύσεων στους τομείς της βιοτεχνίας, χειροτεχνίας, παραγωγής ειδών μετά την 1</w:t>
            </w:r>
            <w:r w:rsidRPr="00246321">
              <w:rPr>
                <w:rFonts w:asciiTheme="minorHAnsi" w:hAnsiTheme="minorHAnsi" w:cstheme="minorHAnsi"/>
                <w:sz w:val="24"/>
                <w:szCs w:val="24"/>
                <w:vertAlign w:val="superscript"/>
                <w:lang w:val="el-GR"/>
              </w:rPr>
              <w:t>η</w:t>
            </w:r>
            <w:r w:rsidRPr="00246321">
              <w:rPr>
                <w:rFonts w:asciiTheme="minorHAnsi" w:hAnsiTheme="minorHAnsi" w:cstheme="minorHAnsi"/>
                <w:sz w:val="24"/>
                <w:szCs w:val="24"/>
                <w:lang w:val="el-GR"/>
              </w:rPr>
              <w:t xml:space="preserve"> μεταποίηση, και του εμπορίου με σκοπό την εξυπηρέτηση ειδικών στόχων της τοπικής στρατηγικής.</w:t>
            </w:r>
          </w:p>
        </w:tc>
      </w:tr>
      <w:tr w:rsidR="00165934" w:rsidRPr="003E6F5C" w:rsidTr="00246321">
        <w:tc>
          <w:tcPr>
            <w:tcW w:w="710" w:type="dxa"/>
            <w:vMerge/>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19.2.2.5</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165934" w:rsidRPr="003E6F5C" w:rsidTr="00246321">
        <w:tc>
          <w:tcPr>
            <w:tcW w:w="710" w:type="dxa"/>
            <w:vMerge/>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19.2.2.6</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3F3F03" w:rsidRPr="003E6F5C" w:rsidTr="00246321">
        <w:trPr>
          <w:trHeight w:val="275"/>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19.2.3 Οριζόντια ενίσχυση στην ανάπτυξη /  βελτίωση της επιχειρηματικότητας και ανταγωνιστικότητας της περιοχή εφαρμογής</w:t>
            </w:r>
          </w:p>
        </w:tc>
      </w:tr>
      <w:tr w:rsidR="00165934" w:rsidRPr="003E6F5C" w:rsidTr="00246321">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19.2.3.1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19.2.3.2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19.2.3.3</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εφαρμογή ενίσχυσης επενδύσεων στον τομέα του τουρισμού με σκοπό την εξυπηρέτηση των στόχων της τοπικής στρατηγικής.</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19.2.3.4</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εφαρμογή ενίσχυσης επενδύσεων στους τομείς της βιοτεχνίας, χειροτεχνίας, παραγωγής ειδών μετά την 1</w:t>
            </w:r>
            <w:r w:rsidRPr="00246321">
              <w:rPr>
                <w:rFonts w:asciiTheme="minorHAnsi" w:hAnsiTheme="minorHAnsi" w:cstheme="minorHAnsi"/>
                <w:sz w:val="24"/>
                <w:szCs w:val="24"/>
                <w:vertAlign w:val="superscript"/>
                <w:lang w:val="el-GR"/>
              </w:rPr>
              <w:t>η</w:t>
            </w:r>
            <w:r w:rsidRPr="00246321">
              <w:rPr>
                <w:rFonts w:asciiTheme="minorHAnsi" w:hAnsiTheme="minorHAnsi" w:cstheme="minorHAnsi"/>
                <w:sz w:val="24"/>
                <w:szCs w:val="24"/>
                <w:lang w:val="el-GR"/>
              </w:rPr>
              <w:t xml:space="preserve"> μεταποίηση, </w:t>
            </w:r>
            <w:r w:rsidRPr="00246321">
              <w:rPr>
                <w:rFonts w:asciiTheme="minorHAnsi" w:hAnsiTheme="minorHAnsi" w:cstheme="minorHAnsi"/>
                <w:sz w:val="24"/>
                <w:szCs w:val="24"/>
                <w:lang w:val="el-GR"/>
              </w:rPr>
              <w:lastRenderedPageBreak/>
              <w:t>και του εμπορίου με σκοπό την εξυπηρέτηση των στόχων της τοπικής στρατηγικής.</w:t>
            </w:r>
          </w:p>
        </w:tc>
      </w:tr>
      <w:tr w:rsidR="00165934" w:rsidRPr="003E6F5C" w:rsidTr="00246321">
        <w:tc>
          <w:tcPr>
            <w:tcW w:w="710" w:type="dxa"/>
            <w:vMerge/>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19.2.3.5</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165934" w:rsidRPr="003E6F5C" w:rsidTr="00246321">
        <w:tc>
          <w:tcPr>
            <w:tcW w:w="710" w:type="dxa"/>
            <w:vMerge/>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19.2.3.6</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εφαρμογή ενίσχυσης επενδύσεων οικοτεχνίας και πολυλειτουργικών αγροκτημάτων.</w:t>
            </w:r>
          </w:p>
        </w:tc>
      </w:tr>
      <w:tr w:rsidR="003F3F03" w:rsidRPr="003E6F5C" w:rsidTr="00246321">
        <w:trPr>
          <w:trHeight w:val="325"/>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19.2.4 Βασικές υπηρεσίες &amp; ανάπλαση χωριών σε αγροτικές περιοχές</w:t>
            </w:r>
          </w:p>
        </w:tc>
      </w:tr>
      <w:tr w:rsidR="00165934" w:rsidRPr="003E6F5C" w:rsidTr="00246321">
        <w:trPr>
          <w:trHeight w:val="845"/>
        </w:trPr>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19.2.4.1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 </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19.2.4.2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19.2.4.3</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r>
      <w:tr w:rsidR="00165934" w:rsidRPr="00246321"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19.2.4.4</w:t>
            </w:r>
          </w:p>
        </w:tc>
        <w:tc>
          <w:tcPr>
            <w:tcW w:w="6983"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Ενίσχυση πολιτιστικών εκδηλώσεων</w:t>
            </w:r>
          </w:p>
        </w:tc>
      </w:tr>
      <w:tr w:rsidR="00165934" w:rsidRPr="003E6F5C" w:rsidTr="00246321">
        <w:trPr>
          <w:trHeight w:val="1931"/>
        </w:trPr>
        <w:tc>
          <w:tcPr>
            <w:tcW w:w="710" w:type="dxa"/>
            <w:vMerge/>
          </w:tcPr>
          <w:p w:rsidR="00165934" w:rsidRPr="00246321" w:rsidRDefault="00165934" w:rsidP="00246321">
            <w:pPr>
              <w:spacing w:line="28" w:lineRule="atLeast"/>
              <w:jc w:val="both"/>
              <w:rPr>
                <w:rFonts w:asciiTheme="minorHAnsi" w:hAnsiTheme="minorHAnsi" w:cstheme="minorHAnsi"/>
                <w:sz w:val="24"/>
                <w:szCs w:val="24"/>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19.2.4.5</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19.2.4.6</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r>
      <w:tr w:rsidR="003F3F03" w:rsidRPr="003E6F5C" w:rsidTr="00246321">
        <w:trPr>
          <w:trHeight w:val="358"/>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19.2.5  Παρεμβάσεις για τη βελτίωση υποδομών στον πρωτογενή τομέα</w:t>
            </w:r>
          </w:p>
        </w:tc>
      </w:tr>
      <w:tr w:rsidR="00165934" w:rsidRPr="003E6F5C" w:rsidTr="00246321">
        <w:trPr>
          <w:trHeight w:val="563"/>
        </w:trPr>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19.2.5.1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 Βελτίωση πρόσβασης σε γεωργική γη και κτηνοτροφικές εκμεταλλεύσεις</w:t>
            </w:r>
          </w:p>
        </w:tc>
      </w:tr>
      <w:tr w:rsidR="00165934" w:rsidRPr="003E6F5C" w:rsidTr="00246321">
        <w:trPr>
          <w:trHeight w:val="557"/>
        </w:trPr>
        <w:tc>
          <w:tcPr>
            <w:tcW w:w="710" w:type="dxa"/>
            <w:vMerge/>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19.2.5.2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Βελτίωση διαχείρισης υδατικών πόρων και αποθήκευσης ύδατος (εγγειοβελτιωτικά έργα, ομβροδεξαμενές κλπ) </w:t>
            </w:r>
          </w:p>
        </w:tc>
      </w:tr>
      <w:tr w:rsidR="003F3F03" w:rsidRPr="003E6F5C" w:rsidTr="00246321">
        <w:trPr>
          <w:trHeight w:val="267"/>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19.2.6 Ανάπτυξη και βελτίωση βιωσιμότητας δασών</w:t>
            </w:r>
          </w:p>
        </w:tc>
      </w:tr>
      <w:tr w:rsidR="00165934" w:rsidRPr="003E6F5C" w:rsidTr="00246321">
        <w:trPr>
          <w:trHeight w:val="549"/>
        </w:trPr>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19.2.6.1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Πρόληψη και αποκατάσταση δασών και δασικών εκτάσεων από πυρκαγιές και άλλες φυσικές καταστροφές και καταστροφικά συμβάντα</w:t>
            </w:r>
          </w:p>
        </w:tc>
      </w:tr>
      <w:tr w:rsidR="00165934" w:rsidRPr="003E6F5C" w:rsidTr="00246321">
        <w:trPr>
          <w:trHeight w:val="547"/>
        </w:trPr>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19.2.6.2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Επενδύσεις σε δασοκομικές τεχνολογίες και στην επεξεργασία, κινητοποίηση και εμπορία δασικών προϊόντων</w:t>
            </w:r>
          </w:p>
        </w:tc>
      </w:tr>
      <w:tr w:rsidR="003F3F03" w:rsidRPr="00246321" w:rsidTr="00246321">
        <w:trPr>
          <w:trHeight w:val="275"/>
        </w:trPr>
        <w:tc>
          <w:tcPr>
            <w:tcW w:w="9072" w:type="dxa"/>
            <w:gridSpan w:val="3"/>
          </w:tcPr>
          <w:p w:rsidR="003F3F03" w:rsidRPr="00246321" w:rsidRDefault="003F3F03" w:rsidP="00246321">
            <w:pPr>
              <w:spacing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rPr>
              <w:t>19.2.7 Συνεργασία μεταξύ διαφορετικών παραγόντων</w:t>
            </w:r>
          </w:p>
        </w:tc>
      </w:tr>
      <w:tr w:rsidR="00165934" w:rsidRPr="003E6F5C" w:rsidTr="00246321">
        <w:tc>
          <w:tcPr>
            <w:tcW w:w="710" w:type="dxa"/>
            <w:vMerge w:val="restart"/>
            <w:textDirection w:val="btLr"/>
          </w:tcPr>
          <w:p w:rsidR="00165934" w:rsidRPr="00246321" w:rsidRDefault="00165934" w:rsidP="00246321">
            <w:pPr>
              <w:spacing w:line="28" w:lineRule="atLeast"/>
              <w:ind w:right="113"/>
              <w:jc w:val="both"/>
              <w:rPr>
                <w:rFonts w:asciiTheme="minorHAnsi" w:hAnsiTheme="minorHAnsi" w:cstheme="minorHAnsi"/>
                <w:sz w:val="24"/>
                <w:szCs w:val="24"/>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19.2.7.1</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Πιλοτικά έργα (εκτός γεωργικού τομέα)</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19.2.7.2</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Ανάπτυξη νέων προϊόντων, πρακτικών, διεργασιών και τεχνολογιών στον τομέα των τροφίμων και της δασοπονίας</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19.2.7.3</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19.2.7.4</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Κοινή δράση που αναλαμβάνεται με σκοπό το μετριασμό της αλλαγής κλίματος ή την προσαρμογή σε αυτή</w:t>
            </w:r>
          </w:p>
        </w:tc>
      </w:tr>
      <w:tr w:rsidR="00165934" w:rsidRPr="003E6F5C" w:rsidTr="00246321">
        <w:trPr>
          <w:trHeight w:val="515"/>
        </w:trPr>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19.2.7.5</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Διαφοροποίηση των γεωργικών δραστηριοτήτων σε δραστηριότητες που αφορούν την εκπαίδευση σχετικά με το περιβάλλον και τη διατροφή</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19.2.7.6</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Διαφοροποίηση των γεωργικών δραστηριοτήτων σε δραστηριότητες που αφορούν την υγειονομική περίθαλψη, την κοινωνική ένταξη και τη γεωργία που στηρίζεται από τις τοπικές κοινότητες</w:t>
            </w:r>
          </w:p>
        </w:tc>
      </w:tr>
      <w:tr w:rsidR="00165934" w:rsidRPr="003E6F5C" w:rsidTr="00246321">
        <w:trPr>
          <w:trHeight w:val="854"/>
        </w:trPr>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19.2.7.7</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r>
      <w:tr w:rsidR="00165934" w:rsidRPr="003E6F5C" w:rsidTr="00246321">
        <w:tc>
          <w:tcPr>
            <w:tcW w:w="710" w:type="dxa"/>
            <w:vMerge/>
          </w:tcPr>
          <w:p w:rsidR="00165934" w:rsidRPr="00246321" w:rsidRDefault="00165934" w:rsidP="00246321">
            <w:pPr>
              <w:spacing w:line="28" w:lineRule="atLeast"/>
              <w:jc w:val="both"/>
              <w:rPr>
                <w:rFonts w:asciiTheme="minorHAnsi" w:hAnsiTheme="minorHAnsi" w:cstheme="minorHAnsi"/>
                <w:sz w:val="24"/>
                <w:szCs w:val="24"/>
                <w:lang w:val="el-GR"/>
              </w:rPr>
            </w:pPr>
          </w:p>
        </w:tc>
        <w:tc>
          <w:tcPr>
            <w:tcW w:w="1379" w:type="dxa"/>
          </w:tcPr>
          <w:p w:rsidR="00165934" w:rsidRPr="00246321" w:rsidRDefault="00165934" w:rsidP="00246321">
            <w:pPr>
              <w:spacing w:line="28" w:lineRule="atLeast"/>
              <w:jc w:val="both"/>
              <w:rPr>
                <w:rFonts w:asciiTheme="minorHAnsi" w:hAnsiTheme="minorHAnsi" w:cstheme="minorHAnsi"/>
                <w:sz w:val="24"/>
                <w:szCs w:val="24"/>
              </w:rPr>
            </w:pPr>
            <w:r w:rsidRPr="00246321">
              <w:rPr>
                <w:rFonts w:asciiTheme="minorHAnsi" w:hAnsiTheme="minorHAnsi" w:cstheme="minorHAnsi"/>
                <w:sz w:val="24"/>
                <w:szCs w:val="24"/>
              </w:rPr>
              <w:t>19.2.7.8</w:t>
            </w:r>
          </w:p>
        </w:tc>
        <w:tc>
          <w:tcPr>
            <w:tcW w:w="6983" w:type="dxa"/>
          </w:tcPr>
          <w:p w:rsidR="00165934" w:rsidRPr="00246321" w:rsidRDefault="00165934" w:rsidP="00246321">
            <w:pPr>
              <w:spacing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r>
    </w:tbl>
    <w:p w:rsidR="00165934" w:rsidRDefault="00165934" w:rsidP="00246321">
      <w:pPr>
        <w:pStyle w:val="a4"/>
        <w:tabs>
          <w:tab w:val="left" w:pos="855"/>
          <w:tab w:val="center" w:pos="4155"/>
        </w:tabs>
        <w:spacing w:after="120" w:line="28" w:lineRule="atLeast"/>
        <w:rPr>
          <w:rFonts w:asciiTheme="minorHAnsi" w:hAnsiTheme="minorHAnsi" w:cstheme="minorHAnsi"/>
          <w:b/>
          <w:sz w:val="24"/>
          <w:szCs w:val="24"/>
          <w:lang w:val="el-GR"/>
        </w:rPr>
      </w:pPr>
    </w:p>
    <w:p w:rsidR="00246321" w:rsidRPr="00246321" w:rsidRDefault="00246321" w:rsidP="00246321">
      <w:pPr>
        <w:pStyle w:val="a4"/>
        <w:tabs>
          <w:tab w:val="left" w:pos="855"/>
          <w:tab w:val="center" w:pos="4155"/>
        </w:tabs>
        <w:spacing w:after="120" w:line="28" w:lineRule="atLeast"/>
        <w:rPr>
          <w:rFonts w:asciiTheme="minorHAnsi" w:hAnsiTheme="minorHAnsi" w:cstheme="minorHAnsi"/>
          <w:b/>
          <w:sz w:val="24"/>
          <w:szCs w:val="24"/>
          <w:lang w:val="el-GR"/>
        </w:rPr>
      </w:pPr>
    </w:p>
    <w:p w:rsidR="00AB371F" w:rsidRPr="00246321" w:rsidRDefault="007D37D9"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 xml:space="preserve">Άρθρο </w:t>
      </w:r>
      <w:r w:rsidR="00B20ACF" w:rsidRPr="00246321">
        <w:rPr>
          <w:rFonts w:asciiTheme="minorHAnsi" w:hAnsiTheme="minorHAnsi" w:cstheme="minorHAnsi"/>
          <w:b/>
          <w:sz w:val="24"/>
          <w:szCs w:val="24"/>
          <w:lang w:val="el-GR"/>
        </w:rPr>
        <w:t>4</w:t>
      </w:r>
    </w:p>
    <w:p w:rsidR="0010050E" w:rsidRPr="00246321" w:rsidRDefault="0010050E" w:rsidP="00246321">
      <w:pPr>
        <w:pStyle w:val="a4"/>
        <w:spacing w:after="120"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 xml:space="preserve">Είδος της ενίσχυσης </w:t>
      </w:r>
      <w:r w:rsidR="00B20ACF" w:rsidRPr="00246321">
        <w:rPr>
          <w:rFonts w:asciiTheme="minorHAnsi" w:hAnsiTheme="minorHAnsi" w:cstheme="minorHAnsi"/>
          <w:b/>
          <w:sz w:val="24"/>
          <w:szCs w:val="24"/>
          <w:lang w:val="el-GR"/>
        </w:rPr>
        <w:t>και π</w:t>
      </w:r>
      <w:r w:rsidRPr="00246321">
        <w:rPr>
          <w:rFonts w:asciiTheme="minorHAnsi" w:hAnsiTheme="minorHAnsi" w:cstheme="minorHAnsi"/>
          <w:b/>
          <w:sz w:val="24"/>
          <w:szCs w:val="24"/>
          <w:lang w:val="el-GR"/>
        </w:rPr>
        <w:t xml:space="preserve">οσά στήριξης </w:t>
      </w:r>
    </w:p>
    <w:p w:rsidR="0010050E" w:rsidRPr="00246321" w:rsidRDefault="0010050E"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Η ενίσχυση χορηγείται στο δικαιούχο με τη μορφή επιχορήγησης και το ύψος της υπολογίζεται βάσει των επιλέξιμων δαπανών.</w:t>
      </w:r>
    </w:p>
    <w:p w:rsidR="00A124AA" w:rsidRPr="00246321" w:rsidRDefault="00A124AA"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Ο συνολικός προϋπολογισμός των ενισχυόμενων παρεμβάσεων μπορεί να ανέλθει μέχρι </w:t>
      </w:r>
      <w:r w:rsidRPr="00246321">
        <w:rPr>
          <w:rFonts w:asciiTheme="minorHAnsi" w:hAnsiTheme="minorHAnsi" w:cstheme="minorHAnsi"/>
          <w:b/>
          <w:sz w:val="24"/>
          <w:szCs w:val="24"/>
          <w:lang w:val="el-GR"/>
        </w:rPr>
        <w:t>600.000 €</w:t>
      </w:r>
      <w:r w:rsidRPr="00246321">
        <w:rPr>
          <w:rFonts w:asciiTheme="minorHAnsi" w:hAnsiTheme="minorHAnsi" w:cstheme="minorHAnsi"/>
          <w:sz w:val="24"/>
          <w:szCs w:val="24"/>
          <w:lang w:val="el-GR"/>
        </w:rPr>
        <w:t xml:space="preserve"> εκτός των έργων που αφορούν διαχείριση στερεών / υγρών αποβλήτων, καθώς και έργων ύδρευσης</w:t>
      </w:r>
      <w:r w:rsidR="00006E58" w:rsidRPr="00246321">
        <w:rPr>
          <w:rFonts w:asciiTheme="minorHAnsi" w:hAnsiTheme="minorHAnsi" w:cstheme="minorHAnsi"/>
          <w:sz w:val="24"/>
          <w:szCs w:val="24"/>
          <w:lang w:val="el-GR"/>
        </w:rPr>
        <w:t>,</w:t>
      </w:r>
      <w:r w:rsidRPr="00246321">
        <w:rPr>
          <w:rFonts w:asciiTheme="minorHAnsi" w:hAnsiTheme="minorHAnsi" w:cstheme="minorHAnsi"/>
          <w:sz w:val="24"/>
          <w:szCs w:val="24"/>
          <w:lang w:val="el-GR"/>
        </w:rPr>
        <w:t xml:space="preserve"> στα οποία ο συνολικός προϋπολογισμός μπορεί να ανέλθει μέχρι </w:t>
      </w:r>
      <w:r w:rsidRPr="00246321">
        <w:rPr>
          <w:rFonts w:asciiTheme="minorHAnsi" w:hAnsiTheme="minorHAnsi" w:cstheme="minorHAnsi"/>
          <w:b/>
          <w:sz w:val="24"/>
          <w:szCs w:val="24"/>
          <w:lang w:val="el-GR"/>
        </w:rPr>
        <w:t>2.000.000 €</w:t>
      </w:r>
      <w:r w:rsidRPr="00246321">
        <w:rPr>
          <w:rFonts w:asciiTheme="minorHAnsi" w:hAnsiTheme="minorHAnsi" w:cstheme="minorHAnsi"/>
          <w:sz w:val="24"/>
          <w:szCs w:val="24"/>
          <w:lang w:val="el-GR"/>
        </w:rPr>
        <w:t xml:space="preserve">. Για </w:t>
      </w:r>
      <w:r w:rsidR="006A520A" w:rsidRPr="00246321">
        <w:rPr>
          <w:rFonts w:asciiTheme="minorHAnsi" w:hAnsiTheme="minorHAnsi" w:cstheme="minorHAnsi"/>
          <w:sz w:val="24"/>
          <w:szCs w:val="24"/>
          <w:lang w:val="el-GR"/>
        </w:rPr>
        <w:t>πράξεις που</w:t>
      </w:r>
      <w:r w:rsidRPr="00246321">
        <w:rPr>
          <w:rFonts w:asciiTheme="minorHAnsi" w:hAnsiTheme="minorHAnsi" w:cstheme="minorHAnsi"/>
          <w:sz w:val="24"/>
          <w:szCs w:val="24"/>
          <w:lang w:val="el-GR"/>
        </w:rPr>
        <w:t xml:space="preserve"> αφορούν άυλες ενέργειες ο συνολικός προϋπολογισμός δεν μπορεί να υπερβαίνει το ποσό των </w:t>
      </w:r>
      <w:r w:rsidRPr="00246321">
        <w:rPr>
          <w:rFonts w:asciiTheme="minorHAnsi" w:hAnsiTheme="minorHAnsi" w:cstheme="minorHAnsi"/>
          <w:b/>
          <w:sz w:val="24"/>
          <w:szCs w:val="24"/>
          <w:lang w:val="el-GR"/>
        </w:rPr>
        <w:t>50.000 €</w:t>
      </w:r>
      <w:r w:rsidRPr="00246321">
        <w:rPr>
          <w:rFonts w:asciiTheme="minorHAnsi" w:hAnsiTheme="minorHAnsi" w:cstheme="minorHAnsi"/>
          <w:sz w:val="24"/>
          <w:szCs w:val="24"/>
          <w:lang w:val="el-GR"/>
        </w:rPr>
        <w:t xml:space="preserve"> για </w:t>
      </w:r>
      <w:r w:rsidR="00F712F2" w:rsidRPr="00246321">
        <w:rPr>
          <w:rFonts w:asciiTheme="minorHAnsi" w:hAnsiTheme="minorHAnsi" w:cstheme="minorHAnsi"/>
          <w:sz w:val="24"/>
          <w:szCs w:val="24"/>
          <w:lang w:val="el-GR"/>
        </w:rPr>
        <w:t xml:space="preserve">έργα </w:t>
      </w:r>
      <w:r w:rsidRPr="00246321">
        <w:rPr>
          <w:rFonts w:asciiTheme="minorHAnsi" w:hAnsiTheme="minorHAnsi" w:cstheme="minorHAnsi"/>
          <w:sz w:val="24"/>
          <w:szCs w:val="24"/>
          <w:lang w:val="el-GR"/>
        </w:rPr>
        <w:t xml:space="preserve">δημόσιου χαρακτήρα </w:t>
      </w:r>
      <w:r w:rsidR="00B20ACF" w:rsidRPr="00246321">
        <w:rPr>
          <w:rFonts w:asciiTheme="minorHAnsi" w:hAnsiTheme="minorHAnsi" w:cstheme="minorHAnsi"/>
          <w:sz w:val="24"/>
          <w:szCs w:val="24"/>
          <w:lang w:val="el-GR"/>
        </w:rPr>
        <w:t xml:space="preserve">και τις </w:t>
      </w:r>
      <w:r w:rsidR="00B20ACF" w:rsidRPr="00246321">
        <w:rPr>
          <w:rFonts w:asciiTheme="minorHAnsi" w:hAnsiTheme="minorHAnsi" w:cstheme="minorHAnsi"/>
          <w:b/>
          <w:sz w:val="24"/>
          <w:szCs w:val="24"/>
          <w:lang w:val="el-GR"/>
        </w:rPr>
        <w:t>100.000 €</w:t>
      </w:r>
      <w:r w:rsidR="00B20ACF" w:rsidRPr="00246321">
        <w:rPr>
          <w:rFonts w:asciiTheme="minorHAnsi" w:hAnsiTheme="minorHAnsi" w:cstheme="minorHAnsi"/>
          <w:sz w:val="24"/>
          <w:szCs w:val="24"/>
          <w:lang w:val="el-GR"/>
        </w:rPr>
        <w:t xml:space="preserve"> για έργα ιδιωτικού  χαρακτήρα</w:t>
      </w:r>
      <w:r w:rsidR="00073EFB" w:rsidRPr="00246321">
        <w:rPr>
          <w:rFonts w:asciiTheme="minorHAnsi" w:hAnsiTheme="minorHAnsi" w:cstheme="minorHAnsi"/>
          <w:sz w:val="24"/>
          <w:szCs w:val="24"/>
          <w:lang w:val="el-GR"/>
        </w:rPr>
        <w:t>.</w:t>
      </w:r>
      <w:r w:rsidR="00B20ACF" w:rsidRPr="00246321">
        <w:rPr>
          <w:rFonts w:asciiTheme="minorHAnsi" w:hAnsiTheme="minorHAnsi" w:cstheme="minorHAnsi"/>
          <w:sz w:val="24"/>
          <w:szCs w:val="24"/>
          <w:lang w:val="el-GR"/>
        </w:rPr>
        <w:t xml:space="preserve"> </w:t>
      </w:r>
      <w:r w:rsidR="006A520A" w:rsidRPr="00246321">
        <w:rPr>
          <w:rFonts w:asciiTheme="minorHAnsi" w:hAnsiTheme="minorHAnsi" w:cstheme="minorHAnsi"/>
          <w:sz w:val="24"/>
          <w:szCs w:val="24"/>
          <w:lang w:val="el-GR"/>
        </w:rPr>
        <w:t xml:space="preserve"> Ως άυλες πράξεις χαρακτηρίζονται οι πράξεις οι οποίες δεν αφορούν στη δημιουργία υποδομών ή </w:t>
      </w:r>
      <w:r w:rsidR="00006E58" w:rsidRPr="00246321">
        <w:rPr>
          <w:rFonts w:asciiTheme="minorHAnsi" w:hAnsiTheme="minorHAnsi" w:cstheme="minorHAnsi"/>
          <w:sz w:val="24"/>
          <w:szCs w:val="24"/>
          <w:lang w:val="el-GR"/>
        </w:rPr>
        <w:t>σε επενδύσεις</w:t>
      </w:r>
      <w:r w:rsidR="006A520A" w:rsidRPr="00246321">
        <w:rPr>
          <w:rFonts w:asciiTheme="minorHAnsi" w:hAnsiTheme="minorHAnsi" w:cstheme="minorHAnsi"/>
          <w:sz w:val="24"/>
          <w:szCs w:val="24"/>
          <w:lang w:val="el-GR"/>
        </w:rPr>
        <w:t>.</w:t>
      </w:r>
    </w:p>
    <w:p w:rsidR="001E6C60" w:rsidRDefault="001E6C60" w:rsidP="00246321">
      <w:pPr>
        <w:pStyle w:val="a4"/>
        <w:spacing w:after="120" w:line="28" w:lineRule="atLeast"/>
        <w:jc w:val="both"/>
        <w:rPr>
          <w:rFonts w:asciiTheme="minorHAnsi" w:hAnsiTheme="minorHAnsi" w:cstheme="minorHAnsi"/>
          <w:sz w:val="24"/>
          <w:szCs w:val="24"/>
          <w:lang w:val="el-GR"/>
        </w:rPr>
      </w:pPr>
    </w:p>
    <w:p w:rsidR="00246321" w:rsidRPr="00246321" w:rsidRDefault="00246321" w:rsidP="00246321">
      <w:pPr>
        <w:pStyle w:val="a4"/>
        <w:spacing w:after="120" w:line="28" w:lineRule="atLeast"/>
        <w:jc w:val="both"/>
        <w:rPr>
          <w:rFonts w:asciiTheme="minorHAnsi" w:hAnsiTheme="minorHAnsi" w:cstheme="minorHAnsi"/>
          <w:sz w:val="24"/>
          <w:szCs w:val="24"/>
          <w:lang w:val="el-GR"/>
        </w:rPr>
      </w:pPr>
    </w:p>
    <w:p w:rsidR="00B20ACF" w:rsidRPr="00246321" w:rsidRDefault="00B20ACF"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Άρθρο 5</w:t>
      </w:r>
    </w:p>
    <w:p w:rsidR="00B20ACF" w:rsidRPr="00246321" w:rsidRDefault="00B20ACF" w:rsidP="00246321">
      <w:pPr>
        <w:pStyle w:val="a4"/>
        <w:spacing w:after="120"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 xml:space="preserve">Ποσοστά στήριξης </w:t>
      </w:r>
    </w:p>
    <w:p w:rsidR="00B20ACF" w:rsidRPr="00246321" w:rsidRDefault="00B20ACF"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Τα ποσοστά στήριξης ανά δράση είναι σύμφωνα με τον ακόλουθο πίνακα:</w:t>
      </w:r>
    </w:p>
    <w:p w:rsidR="00CB7A8B" w:rsidRDefault="00CB7A8B" w:rsidP="00246321">
      <w:pPr>
        <w:pStyle w:val="a4"/>
        <w:spacing w:after="120" w:line="28" w:lineRule="atLeast"/>
        <w:jc w:val="both"/>
        <w:rPr>
          <w:rFonts w:asciiTheme="minorHAnsi" w:hAnsiTheme="minorHAnsi" w:cstheme="minorHAnsi"/>
          <w:sz w:val="24"/>
          <w:szCs w:val="24"/>
          <w:lang w:val="el-GR"/>
        </w:rPr>
      </w:pPr>
    </w:p>
    <w:p w:rsidR="00BA7C5B" w:rsidRPr="00246321" w:rsidRDefault="00BA7C5B" w:rsidP="00246321">
      <w:pPr>
        <w:pStyle w:val="a4"/>
        <w:spacing w:after="120" w:line="28" w:lineRule="atLeast"/>
        <w:jc w:val="both"/>
        <w:rPr>
          <w:rFonts w:asciiTheme="minorHAnsi" w:hAnsiTheme="minorHAnsi" w:cstheme="minorHAnsi"/>
          <w:sz w:val="24"/>
          <w:szCs w:val="24"/>
          <w:lang w:val="el-GR"/>
        </w:rPr>
      </w:pPr>
    </w:p>
    <w:tbl>
      <w:tblPr>
        <w:tblStyle w:val="a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15"/>
        <w:gridCol w:w="3535"/>
        <w:gridCol w:w="4239"/>
      </w:tblGrid>
      <w:tr w:rsidR="00B20ACF" w:rsidRPr="00246321" w:rsidTr="00246321">
        <w:tc>
          <w:tcPr>
            <w:tcW w:w="1015" w:type="dxa"/>
          </w:tcPr>
          <w:p w:rsidR="00B20ACF" w:rsidRPr="00246321" w:rsidRDefault="00B20ACF" w:rsidP="00246321">
            <w:pPr>
              <w:pStyle w:val="a4"/>
              <w:spacing w:after="120"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lastRenderedPageBreak/>
              <w:t>Δράση</w:t>
            </w:r>
          </w:p>
        </w:tc>
        <w:tc>
          <w:tcPr>
            <w:tcW w:w="3535" w:type="dxa"/>
          </w:tcPr>
          <w:p w:rsidR="00B20ACF" w:rsidRPr="00246321" w:rsidRDefault="00934189" w:rsidP="00246321">
            <w:pPr>
              <w:pStyle w:val="a4"/>
              <w:spacing w:after="120"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Νομική Βάση καθεστώτος ενίσχυσης</w:t>
            </w:r>
          </w:p>
        </w:tc>
        <w:tc>
          <w:tcPr>
            <w:tcW w:w="4239" w:type="dxa"/>
          </w:tcPr>
          <w:p w:rsidR="00B20ACF" w:rsidRPr="00246321" w:rsidRDefault="00B20ACF" w:rsidP="00246321">
            <w:pPr>
              <w:pStyle w:val="a4"/>
              <w:spacing w:after="120" w:line="28" w:lineRule="atLeast"/>
              <w:jc w:val="both"/>
              <w:rPr>
                <w:rFonts w:asciiTheme="minorHAnsi" w:hAnsiTheme="minorHAnsi" w:cstheme="minorHAnsi"/>
                <w:b/>
                <w:sz w:val="24"/>
                <w:szCs w:val="24"/>
                <w:lang w:val="el-GR"/>
              </w:rPr>
            </w:pPr>
            <w:r w:rsidRPr="00246321">
              <w:rPr>
                <w:rFonts w:asciiTheme="minorHAnsi" w:hAnsiTheme="minorHAnsi" w:cstheme="minorHAnsi"/>
                <w:b/>
                <w:sz w:val="24"/>
                <w:szCs w:val="24"/>
                <w:lang w:val="el-GR"/>
              </w:rPr>
              <w:t>Ένταση Ενίσχυσης</w:t>
            </w:r>
          </w:p>
        </w:tc>
      </w:tr>
      <w:tr w:rsidR="002307E1" w:rsidRPr="003E6F5C" w:rsidTr="00246321">
        <w:tc>
          <w:tcPr>
            <w:tcW w:w="1015" w:type="dxa"/>
            <w:vMerge w:val="restart"/>
          </w:tcPr>
          <w:p w:rsidR="002307E1" w:rsidRPr="00246321" w:rsidRDefault="002307E1"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19.2.1</w:t>
            </w:r>
          </w:p>
        </w:tc>
        <w:tc>
          <w:tcPr>
            <w:tcW w:w="3535" w:type="dxa"/>
          </w:tcPr>
          <w:p w:rsidR="002307E1" w:rsidRPr="00246321" w:rsidRDefault="002307E1"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38 Καν. (ΕΕ) 702/2014</w:t>
            </w:r>
          </w:p>
        </w:tc>
        <w:tc>
          <w:tcPr>
            <w:tcW w:w="4239" w:type="dxa"/>
          </w:tcPr>
          <w:p w:rsidR="002307E1" w:rsidRPr="00246321" w:rsidRDefault="002307E1"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100%</w:t>
            </w:r>
            <w:r w:rsidR="00164E94" w:rsidRPr="00246321">
              <w:rPr>
                <w:rFonts w:asciiTheme="minorHAnsi" w:hAnsiTheme="minorHAnsi" w:cstheme="minorHAnsi"/>
                <w:sz w:val="24"/>
                <w:szCs w:val="24"/>
                <w:lang w:val="el-GR"/>
              </w:rPr>
              <w:t xml:space="preserve"> </w:t>
            </w:r>
            <w:r w:rsidR="009D7B65" w:rsidRPr="00246321">
              <w:rPr>
                <w:rFonts w:asciiTheme="minorHAnsi" w:hAnsiTheme="minorHAnsi" w:cstheme="minorHAnsi"/>
                <w:sz w:val="24"/>
                <w:szCs w:val="24"/>
                <w:lang w:val="el-GR"/>
              </w:rPr>
              <w:t xml:space="preserve">των επιλέξιμων δαπανών </w:t>
            </w:r>
            <w:r w:rsidR="00164E94" w:rsidRPr="00246321">
              <w:rPr>
                <w:rFonts w:asciiTheme="minorHAnsi" w:hAnsiTheme="minorHAnsi" w:cstheme="minorHAnsi"/>
                <w:sz w:val="24"/>
                <w:szCs w:val="24"/>
                <w:lang w:val="el-GR"/>
              </w:rPr>
              <w:t>(όσον αφορά στο δασικό τομέα)</w:t>
            </w:r>
          </w:p>
        </w:tc>
      </w:tr>
      <w:tr w:rsidR="002307E1" w:rsidRPr="003E6F5C" w:rsidTr="00246321">
        <w:tc>
          <w:tcPr>
            <w:tcW w:w="1015" w:type="dxa"/>
            <w:vMerge/>
          </w:tcPr>
          <w:p w:rsidR="002307E1" w:rsidRPr="00246321" w:rsidRDefault="002307E1" w:rsidP="00246321">
            <w:pPr>
              <w:pStyle w:val="a4"/>
              <w:spacing w:after="120" w:line="28" w:lineRule="atLeast"/>
              <w:jc w:val="both"/>
              <w:rPr>
                <w:rFonts w:asciiTheme="minorHAnsi" w:hAnsiTheme="minorHAnsi" w:cstheme="minorHAnsi"/>
                <w:sz w:val="24"/>
                <w:szCs w:val="24"/>
                <w:lang w:val="el-GR"/>
              </w:rPr>
            </w:pPr>
          </w:p>
        </w:tc>
        <w:tc>
          <w:tcPr>
            <w:tcW w:w="3535" w:type="dxa"/>
          </w:tcPr>
          <w:p w:rsidR="002307E1" w:rsidRPr="00246321" w:rsidRDefault="002307E1"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47 Καν. (ΕΕ) 702/2014</w:t>
            </w:r>
          </w:p>
        </w:tc>
        <w:tc>
          <w:tcPr>
            <w:tcW w:w="4239" w:type="dxa"/>
          </w:tcPr>
          <w:p w:rsidR="002307E1" w:rsidRPr="00246321" w:rsidRDefault="002307E1"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60-70% </w:t>
            </w:r>
            <w:r w:rsidR="009D7B65" w:rsidRPr="00246321">
              <w:rPr>
                <w:rFonts w:asciiTheme="minorHAnsi" w:hAnsiTheme="minorHAnsi" w:cstheme="minorHAnsi"/>
                <w:sz w:val="24"/>
                <w:szCs w:val="24"/>
                <w:lang w:val="el-GR"/>
              </w:rPr>
              <w:t xml:space="preserve">των επιλέξιμων δαπανών </w:t>
            </w:r>
            <w:r w:rsidR="00164E94" w:rsidRPr="00246321">
              <w:rPr>
                <w:rFonts w:asciiTheme="minorHAnsi" w:hAnsiTheme="minorHAnsi" w:cstheme="minorHAnsi"/>
                <w:sz w:val="24"/>
                <w:szCs w:val="24"/>
                <w:lang w:val="el-GR"/>
              </w:rPr>
              <w:t xml:space="preserve">(όσον αφορά στις </w:t>
            </w:r>
            <w:r w:rsidR="009D7B65" w:rsidRPr="00246321">
              <w:rPr>
                <w:rFonts w:asciiTheme="minorHAnsi" w:hAnsiTheme="minorHAnsi" w:cstheme="minorHAnsi"/>
                <w:sz w:val="24"/>
                <w:szCs w:val="24"/>
                <w:lang w:val="el-GR"/>
              </w:rPr>
              <w:t xml:space="preserve">ΜΜΕ </w:t>
            </w:r>
            <w:r w:rsidR="00164E94" w:rsidRPr="00246321">
              <w:rPr>
                <w:rFonts w:asciiTheme="minorHAnsi" w:hAnsiTheme="minorHAnsi" w:cstheme="minorHAnsi"/>
                <w:sz w:val="24"/>
                <w:szCs w:val="24"/>
                <w:lang w:val="el-GR"/>
              </w:rPr>
              <w:t>αγροτικ</w:t>
            </w:r>
            <w:r w:rsidR="009D7B65" w:rsidRPr="00246321">
              <w:rPr>
                <w:rFonts w:asciiTheme="minorHAnsi" w:hAnsiTheme="minorHAnsi" w:cstheme="minorHAnsi"/>
                <w:sz w:val="24"/>
                <w:szCs w:val="24"/>
                <w:lang w:val="el-GR"/>
              </w:rPr>
              <w:t>ών</w:t>
            </w:r>
            <w:r w:rsidR="00164E94" w:rsidRPr="00246321">
              <w:rPr>
                <w:rFonts w:asciiTheme="minorHAnsi" w:hAnsiTheme="minorHAnsi" w:cstheme="minorHAnsi"/>
                <w:sz w:val="24"/>
                <w:szCs w:val="24"/>
                <w:lang w:val="el-GR"/>
              </w:rPr>
              <w:t xml:space="preserve"> περιοχ</w:t>
            </w:r>
            <w:r w:rsidR="009D7B65" w:rsidRPr="00246321">
              <w:rPr>
                <w:rFonts w:asciiTheme="minorHAnsi" w:hAnsiTheme="minorHAnsi" w:cstheme="minorHAnsi"/>
                <w:sz w:val="24"/>
                <w:szCs w:val="24"/>
                <w:lang w:val="el-GR"/>
              </w:rPr>
              <w:t>ών</w:t>
            </w:r>
            <w:r w:rsidR="00164E94" w:rsidRPr="00246321">
              <w:rPr>
                <w:rFonts w:asciiTheme="minorHAnsi" w:hAnsiTheme="minorHAnsi" w:cstheme="minorHAnsi"/>
                <w:sz w:val="24"/>
                <w:szCs w:val="24"/>
                <w:lang w:val="el-GR"/>
              </w:rPr>
              <w:t>)</w:t>
            </w:r>
            <w:r w:rsidR="00934189" w:rsidRPr="00246321">
              <w:rPr>
                <w:rFonts w:asciiTheme="minorHAnsi" w:hAnsiTheme="minorHAnsi" w:cstheme="minorHAnsi"/>
                <w:sz w:val="24"/>
                <w:szCs w:val="24"/>
                <w:lang w:val="el-GR"/>
              </w:rPr>
              <w:t xml:space="preserve"> </w:t>
            </w:r>
          </w:p>
        </w:tc>
      </w:tr>
      <w:tr w:rsidR="00CB7A8B" w:rsidRPr="003E6F5C" w:rsidTr="00246321">
        <w:tc>
          <w:tcPr>
            <w:tcW w:w="1015" w:type="dxa"/>
            <w:vMerge/>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p>
        </w:tc>
        <w:tc>
          <w:tcPr>
            <w:tcW w:w="3535"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1305/2013</w:t>
            </w:r>
          </w:p>
        </w:tc>
        <w:tc>
          <w:tcPr>
            <w:tcW w:w="4239"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100%</w:t>
            </w:r>
            <w:r w:rsidR="00164E94" w:rsidRPr="00246321">
              <w:rPr>
                <w:rFonts w:asciiTheme="minorHAnsi" w:hAnsiTheme="minorHAnsi" w:cstheme="minorHAnsi"/>
                <w:sz w:val="24"/>
                <w:szCs w:val="24"/>
                <w:lang w:val="el-GR"/>
              </w:rPr>
              <w:t xml:space="preserve"> </w:t>
            </w:r>
            <w:r w:rsidR="009D7B65" w:rsidRPr="00246321">
              <w:rPr>
                <w:rFonts w:asciiTheme="minorHAnsi" w:hAnsiTheme="minorHAnsi" w:cstheme="minorHAnsi"/>
                <w:sz w:val="24"/>
                <w:szCs w:val="24"/>
                <w:lang w:val="el-GR"/>
              </w:rPr>
              <w:t xml:space="preserve">των επιλέξιμων δαπανών </w:t>
            </w:r>
            <w:r w:rsidR="00164E94" w:rsidRPr="00246321">
              <w:rPr>
                <w:rFonts w:asciiTheme="minorHAnsi" w:hAnsiTheme="minorHAnsi" w:cstheme="minorHAnsi"/>
                <w:sz w:val="24"/>
                <w:szCs w:val="24"/>
                <w:lang w:val="el-GR"/>
              </w:rPr>
              <w:t>(όσον αφορά στο γεωργικό τομέα)</w:t>
            </w:r>
          </w:p>
        </w:tc>
      </w:tr>
      <w:tr w:rsidR="00CB7A8B" w:rsidRPr="003E6F5C" w:rsidTr="00246321">
        <w:trPr>
          <w:trHeight w:val="557"/>
        </w:trPr>
        <w:tc>
          <w:tcPr>
            <w:tcW w:w="1015" w:type="dxa"/>
            <w:vMerge/>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p>
        </w:tc>
        <w:tc>
          <w:tcPr>
            <w:tcW w:w="3535"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1407/2013</w:t>
            </w:r>
          </w:p>
        </w:tc>
        <w:tc>
          <w:tcPr>
            <w:tcW w:w="4239"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100% </w:t>
            </w:r>
            <w:r w:rsidR="009D7B65" w:rsidRPr="00246321">
              <w:rPr>
                <w:rFonts w:asciiTheme="minorHAnsi" w:hAnsiTheme="minorHAnsi" w:cstheme="minorHAnsi"/>
                <w:sz w:val="24"/>
                <w:szCs w:val="24"/>
                <w:lang w:val="el-GR"/>
              </w:rPr>
              <w:t xml:space="preserve">των επιλέξιμων δαπανών </w:t>
            </w:r>
            <w:r w:rsidRPr="00246321">
              <w:rPr>
                <w:rFonts w:asciiTheme="minorHAnsi" w:hAnsiTheme="minorHAnsi" w:cstheme="minorHAnsi"/>
                <w:sz w:val="24"/>
                <w:szCs w:val="24"/>
                <w:lang w:val="el-GR"/>
              </w:rPr>
              <w:t>(</w:t>
            </w:r>
            <w:r w:rsidR="00164E94" w:rsidRPr="00246321">
              <w:rPr>
                <w:rFonts w:asciiTheme="minorHAnsi" w:hAnsiTheme="minorHAnsi" w:cstheme="minorHAnsi"/>
                <w:sz w:val="24"/>
                <w:szCs w:val="24"/>
                <w:lang w:val="el-GR"/>
              </w:rPr>
              <w:t xml:space="preserve">ανεξάρτητα τομέα που αφορά η μεταφορά γνώσης και η ενημέρωση, </w:t>
            </w:r>
            <w:r w:rsidRPr="00246321">
              <w:rPr>
                <w:rFonts w:asciiTheme="minorHAnsi" w:hAnsiTheme="minorHAnsi" w:cstheme="minorHAnsi"/>
                <w:sz w:val="24"/>
                <w:szCs w:val="24"/>
                <w:lang w:val="el-GR"/>
              </w:rPr>
              <w:t>για πράξεις με προϋπολογισμό έως 20.000 €)</w:t>
            </w:r>
          </w:p>
        </w:tc>
      </w:tr>
      <w:tr w:rsidR="00CB7A8B" w:rsidRPr="00246321" w:rsidTr="00246321">
        <w:tc>
          <w:tcPr>
            <w:tcW w:w="1015"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19.2.2</w:t>
            </w:r>
          </w:p>
        </w:tc>
        <w:tc>
          <w:tcPr>
            <w:tcW w:w="3535" w:type="dxa"/>
          </w:tcPr>
          <w:p w:rsidR="00CB7A8B" w:rsidRPr="00246321" w:rsidRDefault="00CB7A8B" w:rsidP="00246321">
            <w:pPr>
              <w:pStyle w:val="a4"/>
              <w:tabs>
                <w:tab w:val="left" w:pos="2205"/>
              </w:tabs>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1407/2013</w:t>
            </w:r>
            <w:r w:rsidRPr="00246321">
              <w:rPr>
                <w:rFonts w:asciiTheme="minorHAnsi" w:hAnsiTheme="minorHAnsi" w:cstheme="minorHAnsi"/>
                <w:sz w:val="24"/>
                <w:szCs w:val="24"/>
                <w:lang w:val="el-GR"/>
              </w:rPr>
              <w:tab/>
            </w:r>
          </w:p>
        </w:tc>
        <w:tc>
          <w:tcPr>
            <w:tcW w:w="4239"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Έως 65%</w:t>
            </w:r>
            <w:r w:rsidR="009D7B65" w:rsidRPr="00246321">
              <w:rPr>
                <w:rFonts w:asciiTheme="minorHAnsi" w:hAnsiTheme="minorHAnsi" w:cstheme="minorHAnsi"/>
                <w:sz w:val="24"/>
                <w:szCs w:val="24"/>
                <w:lang w:val="el-GR"/>
              </w:rPr>
              <w:t xml:space="preserve"> των επιλέξιμων δαπανών </w:t>
            </w:r>
          </w:p>
        </w:tc>
      </w:tr>
      <w:tr w:rsidR="00CB7A8B" w:rsidRPr="003E6F5C" w:rsidTr="00246321">
        <w:tc>
          <w:tcPr>
            <w:tcW w:w="1015" w:type="dxa"/>
            <w:vMerge w:val="restart"/>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19.2.3</w:t>
            </w:r>
          </w:p>
        </w:tc>
        <w:tc>
          <w:tcPr>
            <w:tcW w:w="3535"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1305/2013, Παρ. ΙΙ</w:t>
            </w:r>
          </w:p>
        </w:tc>
        <w:tc>
          <w:tcPr>
            <w:tcW w:w="4239" w:type="dxa"/>
          </w:tcPr>
          <w:p w:rsidR="00CB7A8B" w:rsidRPr="00246321" w:rsidRDefault="00CB7A8B"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40-50-75%</w:t>
            </w:r>
            <w:r w:rsidR="009D7B65" w:rsidRPr="00246321">
              <w:rPr>
                <w:rFonts w:asciiTheme="minorHAnsi" w:hAnsiTheme="minorHAnsi" w:cstheme="minorHAnsi"/>
                <w:sz w:val="24"/>
                <w:szCs w:val="24"/>
                <w:lang w:val="el-GR"/>
              </w:rPr>
              <w:t xml:space="preserve"> των επιλέξιμων δαπανών ανάλογα με την κατηγορία ενισχυόμενης περιφέρειας, για μεταποίηση από γεωργικό σε γεωργικό προϊόν</w:t>
            </w:r>
          </w:p>
        </w:tc>
      </w:tr>
      <w:tr w:rsidR="009D7B65" w:rsidRPr="003E6F5C"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44 Καν. (ΕΕ) 702/2014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20-50% των επιλέξιμων δαπανών, για μεταποίηση από γεωργικό σε μη γεωργικό προϊόν</w:t>
            </w:r>
            <w:r w:rsidR="00934189" w:rsidRPr="00246321">
              <w:rPr>
                <w:rFonts w:asciiTheme="minorHAnsi" w:hAnsiTheme="minorHAnsi" w:cstheme="minorHAnsi"/>
                <w:sz w:val="24"/>
                <w:szCs w:val="24"/>
                <w:lang w:val="el-GR"/>
              </w:rPr>
              <w:t>, ανάλογα με την ενισχυόμενη περιφέρεια</w:t>
            </w:r>
          </w:p>
        </w:tc>
      </w:tr>
      <w:tr w:rsidR="009D7B65" w:rsidRPr="003E6F5C"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14 Καν. (ΕΕ) 651/2014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 xml:space="preserve">20-55% των επιλέξιμων δαπανών </w:t>
            </w:r>
            <w:r w:rsidR="00595A71" w:rsidRPr="00246321">
              <w:rPr>
                <w:rFonts w:asciiTheme="minorHAnsi" w:hAnsiTheme="minorHAnsi" w:cstheme="minorHAnsi"/>
                <w:sz w:val="24"/>
                <w:szCs w:val="24"/>
                <w:lang w:val="el-GR"/>
              </w:rPr>
              <w:t>σχετικά με περιφερειακές επενδυτικές ενισχύσεις</w:t>
            </w:r>
            <w:r w:rsidR="00364161" w:rsidRPr="00246321">
              <w:rPr>
                <w:rFonts w:asciiTheme="minorHAnsi" w:hAnsiTheme="minorHAnsi" w:cstheme="minorHAnsi"/>
                <w:sz w:val="24"/>
                <w:szCs w:val="24"/>
                <w:lang w:val="el-GR"/>
              </w:rPr>
              <w:t>, ανάλογα με την ενισχυόμενη περιφέρεια</w:t>
            </w:r>
          </w:p>
        </w:tc>
      </w:tr>
      <w:tr w:rsidR="009D7B65" w:rsidRPr="003E6F5C"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22 Καν. (ΕΕ) 651/2014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65% των επιλέξιμων δαπανών</w:t>
            </w:r>
            <w:r w:rsidR="00681242" w:rsidRPr="00246321">
              <w:rPr>
                <w:rFonts w:asciiTheme="minorHAnsi" w:hAnsiTheme="minorHAnsi" w:cstheme="minorHAnsi"/>
                <w:sz w:val="24"/>
                <w:szCs w:val="24"/>
                <w:lang w:val="el-GR"/>
              </w:rPr>
              <w:t xml:space="preserve"> σχετικά με ενισχύσεις για νεοσύστατες επιχειρήσεις</w:t>
            </w:r>
          </w:p>
        </w:tc>
      </w:tr>
      <w:tr w:rsidR="009D7B65" w:rsidRPr="003E6F5C" w:rsidTr="00246321">
        <w:tc>
          <w:tcPr>
            <w:tcW w:w="1015" w:type="dxa"/>
            <w:vMerge w:val="restart"/>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19.2.4</w:t>
            </w: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1305/2013</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100%</w:t>
            </w:r>
            <w:r w:rsidR="00681242" w:rsidRPr="00246321">
              <w:rPr>
                <w:rFonts w:asciiTheme="minorHAnsi" w:hAnsiTheme="minorHAnsi" w:cstheme="minorHAnsi"/>
                <w:sz w:val="24"/>
                <w:szCs w:val="24"/>
                <w:lang w:val="el-GR"/>
              </w:rPr>
              <w:t xml:space="preserve"> των επιλέξιμων δαπανών, εφόσον αφορά σε δράσεις που σχετίζονται με γεωργικά προϊόντα (Παράρτημα Ι ΣΛΕΕ)</w:t>
            </w:r>
          </w:p>
        </w:tc>
      </w:tr>
      <w:tr w:rsidR="009D7B65" w:rsidRPr="00246321"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53 Καν. (ΕΕ) 651/2014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Έως 100%</w:t>
            </w:r>
            <w:r w:rsidR="00681242" w:rsidRPr="00246321">
              <w:rPr>
                <w:rFonts w:asciiTheme="minorHAnsi" w:hAnsiTheme="minorHAnsi" w:cstheme="minorHAnsi"/>
                <w:sz w:val="24"/>
                <w:szCs w:val="24"/>
                <w:lang w:val="el-GR"/>
              </w:rPr>
              <w:t xml:space="preserve"> των επιλέξιμων δαπανών</w:t>
            </w:r>
          </w:p>
        </w:tc>
      </w:tr>
      <w:tr w:rsidR="009D7B65" w:rsidRPr="00246321"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55 Καν. (ΕΕ) 651/2014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Έως 100%</w:t>
            </w:r>
            <w:r w:rsidR="00681242" w:rsidRPr="00246321">
              <w:rPr>
                <w:rFonts w:asciiTheme="minorHAnsi" w:hAnsiTheme="minorHAnsi" w:cstheme="minorHAnsi"/>
                <w:sz w:val="24"/>
                <w:szCs w:val="24"/>
                <w:lang w:val="el-GR"/>
              </w:rPr>
              <w:t xml:space="preserve"> των επιλέξιμων δαπανών</w:t>
            </w:r>
          </w:p>
        </w:tc>
      </w:tr>
      <w:tr w:rsidR="009D7B65" w:rsidRPr="00246321"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56 Καν. (ΕΕ) 651/2014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Έως 100%</w:t>
            </w:r>
            <w:r w:rsidR="00681242" w:rsidRPr="00246321">
              <w:rPr>
                <w:rFonts w:asciiTheme="minorHAnsi" w:hAnsiTheme="minorHAnsi" w:cstheme="minorHAnsi"/>
                <w:sz w:val="24"/>
                <w:szCs w:val="24"/>
                <w:lang w:val="el-GR"/>
              </w:rPr>
              <w:t xml:space="preserve"> των επιλέξιμων δαπανών</w:t>
            </w:r>
          </w:p>
        </w:tc>
      </w:tr>
      <w:tr w:rsidR="009D7B65" w:rsidRPr="003E6F5C" w:rsidTr="00246321">
        <w:tc>
          <w:tcPr>
            <w:tcW w:w="101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19.2.5</w:t>
            </w: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17 Καν. (ΕΕ) 1305/2013</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100%</w:t>
            </w:r>
            <w:r w:rsidR="00681242" w:rsidRPr="00246321">
              <w:rPr>
                <w:rFonts w:asciiTheme="minorHAnsi" w:hAnsiTheme="minorHAnsi" w:cstheme="minorHAnsi"/>
                <w:sz w:val="24"/>
                <w:szCs w:val="24"/>
                <w:lang w:val="el-GR"/>
              </w:rPr>
              <w:t xml:space="preserve"> των επιλέξιμων δαπανών, εφόσον αφορά σε δράσεις που σχετίζονται με γεωργικά προϊόντα (Παράρτημα Ι ΣΛΕΕ)</w:t>
            </w:r>
          </w:p>
        </w:tc>
      </w:tr>
      <w:tr w:rsidR="009D7B65" w:rsidRPr="00246321" w:rsidTr="00246321">
        <w:tc>
          <w:tcPr>
            <w:tcW w:w="1015" w:type="dxa"/>
            <w:vMerge w:val="restart"/>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19.2.6</w:t>
            </w: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34 Καν. (ΕΕ) 702/2014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100%</w:t>
            </w:r>
            <w:r w:rsidR="00681242" w:rsidRPr="00246321">
              <w:rPr>
                <w:rFonts w:asciiTheme="minorHAnsi" w:hAnsiTheme="minorHAnsi" w:cstheme="minorHAnsi"/>
                <w:sz w:val="24"/>
                <w:szCs w:val="24"/>
                <w:lang w:val="el-GR"/>
              </w:rPr>
              <w:t xml:space="preserve"> των επιλέξιμων δαπανών</w:t>
            </w:r>
          </w:p>
        </w:tc>
      </w:tr>
      <w:tr w:rsidR="009D7B65" w:rsidRPr="003E6F5C"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Άρθρο 37-41 Καν. (ΕΕ) 702/2014</w:t>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40-50-75%</w:t>
            </w:r>
            <w:r w:rsidR="00681242" w:rsidRPr="00246321">
              <w:rPr>
                <w:rFonts w:asciiTheme="minorHAnsi" w:hAnsiTheme="minorHAnsi" w:cstheme="minorHAnsi"/>
                <w:sz w:val="24"/>
                <w:szCs w:val="24"/>
                <w:lang w:val="el-GR"/>
              </w:rPr>
              <w:t xml:space="preserve"> των επιλέξιμων δαπανών</w:t>
            </w:r>
            <w:r w:rsidR="00364161" w:rsidRPr="00246321">
              <w:rPr>
                <w:rFonts w:asciiTheme="minorHAnsi" w:hAnsiTheme="minorHAnsi" w:cstheme="minorHAnsi"/>
                <w:sz w:val="24"/>
                <w:szCs w:val="24"/>
                <w:lang w:val="el-GR"/>
              </w:rPr>
              <w:t xml:space="preserve">, </w:t>
            </w:r>
            <w:r w:rsidR="00364161" w:rsidRPr="00246321">
              <w:rPr>
                <w:rFonts w:asciiTheme="minorHAnsi" w:hAnsiTheme="minorHAnsi" w:cstheme="minorHAnsi"/>
                <w:sz w:val="24"/>
                <w:szCs w:val="24"/>
                <w:lang w:val="el-GR"/>
              </w:rPr>
              <w:lastRenderedPageBreak/>
              <w:t>ανάλογα με την ενισχυόμενη περιφέρεια</w:t>
            </w:r>
          </w:p>
        </w:tc>
      </w:tr>
      <w:tr w:rsidR="009D7B65" w:rsidRPr="00246321" w:rsidTr="00246321">
        <w:tc>
          <w:tcPr>
            <w:tcW w:w="1015" w:type="dxa"/>
            <w:vMerge/>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p>
        </w:tc>
        <w:tc>
          <w:tcPr>
            <w:tcW w:w="3535" w:type="dxa"/>
          </w:tcPr>
          <w:p w:rsidR="009D7B65" w:rsidRPr="00246321" w:rsidRDefault="009D7B65" w:rsidP="00246321">
            <w:pPr>
              <w:pStyle w:val="a4"/>
              <w:tabs>
                <w:tab w:val="left" w:pos="2205"/>
              </w:tabs>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1407/2013</w:t>
            </w:r>
            <w:r w:rsidRPr="00246321">
              <w:rPr>
                <w:rFonts w:asciiTheme="minorHAnsi" w:hAnsiTheme="minorHAnsi" w:cstheme="minorHAnsi"/>
                <w:sz w:val="24"/>
                <w:szCs w:val="24"/>
                <w:lang w:val="el-GR"/>
              </w:rPr>
              <w:tab/>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Έως 65%</w:t>
            </w:r>
            <w:r w:rsidR="00681242" w:rsidRPr="00246321">
              <w:rPr>
                <w:rFonts w:asciiTheme="minorHAnsi" w:hAnsiTheme="minorHAnsi" w:cstheme="minorHAnsi"/>
                <w:sz w:val="24"/>
                <w:szCs w:val="24"/>
                <w:lang w:val="el-GR"/>
              </w:rPr>
              <w:t xml:space="preserve"> των επιλέξιμων δαπανών</w:t>
            </w:r>
          </w:p>
        </w:tc>
      </w:tr>
      <w:tr w:rsidR="009D7B65" w:rsidRPr="00246321" w:rsidTr="00246321">
        <w:tc>
          <w:tcPr>
            <w:tcW w:w="1015"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19.2.7</w:t>
            </w:r>
          </w:p>
        </w:tc>
        <w:tc>
          <w:tcPr>
            <w:tcW w:w="3535" w:type="dxa"/>
          </w:tcPr>
          <w:p w:rsidR="009D7B65" w:rsidRPr="00246321" w:rsidRDefault="009D7B65" w:rsidP="00246321">
            <w:pPr>
              <w:pStyle w:val="a4"/>
              <w:tabs>
                <w:tab w:val="left" w:pos="2205"/>
              </w:tabs>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Καν. (ΕΕ) 1407/2013</w:t>
            </w:r>
            <w:r w:rsidRPr="00246321">
              <w:rPr>
                <w:rFonts w:asciiTheme="minorHAnsi" w:hAnsiTheme="minorHAnsi" w:cstheme="minorHAnsi"/>
                <w:sz w:val="24"/>
                <w:szCs w:val="24"/>
                <w:lang w:val="el-GR"/>
              </w:rPr>
              <w:tab/>
            </w:r>
          </w:p>
        </w:tc>
        <w:tc>
          <w:tcPr>
            <w:tcW w:w="4239" w:type="dxa"/>
          </w:tcPr>
          <w:p w:rsidR="009D7B65" w:rsidRPr="00246321" w:rsidRDefault="009D7B65" w:rsidP="00246321">
            <w:pPr>
              <w:pStyle w:val="a4"/>
              <w:spacing w:after="120" w:line="28" w:lineRule="atLeast"/>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Έως 65%</w:t>
            </w:r>
            <w:r w:rsidR="00681242" w:rsidRPr="00246321">
              <w:rPr>
                <w:rFonts w:asciiTheme="minorHAnsi" w:hAnsiTheme="minorHAnsi" w:cstheme="minorHAnsi"/>
                <w:sz w:val="24"/>
                <w:szCs w:val="24"/>
                <w:lang w:val="el-GR"/>
              </w:rPr>
              <w:t xml:space="preserve"> των επιλέξιμων δαπανών</w:t>
            </w:r>
          </w:p>
        </w:tc>
      </w:tr>
    </w:tbl>
    <w:p w:rsidR="004D49F8" w:rsidRDefault="004D49F8" w:rsidP="00246321">
      <w:pPr>
        <w:pStyle w:val="a4"/>
        <w:spacing w:line="28" w:lineRule="atLeast"/>
        <w:jc w:val="center"/>
        <w:rPr>
          <w:rFonts w:asciiTheme="minorHAnsi" w:hAnsiTheme="minorHAnsi" w:cstheme="minorHAnsi"/>
          <w:b/>
          <w:sz w:val="24"/>
          <w:szCs w:val="24"/>
          <w:lang w:val="el-GR"/>
        </w:rPr>
      </w:pPr>
    </w:p>
    <w:p w:rsidR="00246321" w:rsidRDefault="00246321" w:rsidP="00246321">
      <w:pPr>
        <w:pStyle w:val="a4"/>
        <w:spacing w:line="28" w:lineRule="atLeast"/>
        <w:jc w:val="center"/>
        <w:rPr>
          <w:rFonts w:asciiTheme="minorHAnsi" w:hAnsiTheme="minorHAnsi" w:cstheme="minorHAnsi"/>
          <w:b/>
          <w:sz w:val="24"/>
          <w:szCs w:val="24"/>
          <w:lang w:val="el-GR"/>
        </w:rPr>
      </w:pPr>
    </w:p>
    <w:p w:rsidR="00246321" w:rsidRDefault="00246321" w:rsidP="00246321">
      <w:pPr>
        <w:pStyle w:val="a4"/>
        <w:spacing w:line="28" w:lineRule="atLeast"/>
        <w:jc w:val="center"/>
        <w:rPr>
          <w:rFonts w:asciiTheme="minorHAnsi" w:hAnsiTheme="minorHAnsi" w:cstheme="minorHAnsi"/>
          <w:b/>
          <w:sz w:val="24"/>
          <w:szCs w:val="24"/>
          <w:lang w:val="el-GR"/>
        </w:rPr>
      </w:pPr>
    </w:p>
    <w:p w:rsidR="00246321" w:rsidRDefault="00246321" w:rsidP="00246321">
      <w:pPr>
        <w:pStyle w:val="a4"/>
        <w:spacing w:line="28" w:lineRule="atLeast"/>
        <w:jc w:val="center"/>
        <w:rPr>
          <w:rFonts w:asciiTheme="minorHAnsi" w:hAnsiTheme="minorHAnsi" w:cstheme="minorHAnsi"/>
          <w:b/>
          <w:sz w:val="24"/>
          <w:szCs w:val="24"/>
          <w:lang w:val="el-GR"/>
        </w:rPr>
      </w:pPr>
    </w:p>
    <w:p w:rsidR="00246321" w:rsidRPr="00246321" w:rsidRDefault="00246321" w:rsidP="00246321">
      <w:pPr>
        <w:pStyle w:val="a4"/>
        <w:spacing w:line="28" w:lineRule="atLeast"/>
        <w:jc w:val="center"/>
        <w:rPr>
          <w:rFonts w:asciiTheme="minorHAnsi" w:hAnsiTheme="minorHAnsi" w:cstheme="minorHAnsi"/>
          <w:b/>
          <w:sz w:val="24"/>
          <w:szCs w:val="24"/>
          <w:lang w:val="el-GR"/>
        </w:rPr>
      </w:pPr>
    </w:p>
    <w:p w:rsidR="007D3AB4" w:rsidRPr="00246321" w:rsidRDefault="00CE4C78" w:rsidP="00246321">
      <w:pPr>
        <w:pStyle w:val="a4"/>
        <w:spacing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Άρθρο</w:t>
      </w:r>
      <w:r w:rsidR="007D2401" w:rsidRPr="00246321">
        <w:rPr>
          <w:rFonts w:asciiTheme="minorHAnsi" w:hAnsiTheme="minorHAnsi" w:cstheme="minorHAnsi"/>
          <w:b/>
          <w:sz w:val="24"/>
          <w:szCs w:val="24"/>
          <w:lang w:val="el-GR"/>
        </w:rPr>
        <w:t xml:space="preserve"> </w:t>
      </w:r>
      <w:r w:rsidR="008C0452" w:rsidRPr="00246321">
        <w:rPr>
          <w:rFonts w:asciiTheme="minorHAnsi" w:hAnsiTheme="minorHAnsi" w:cstheme="minorHAnsi"/>
          <w:b/>
          <w:sz w:val="24"/>
          <w:szCs w:val="24"/>
          <w:lang w:val="el-GR"/>
        </w:rPr>
        <w:t>6</w:t>
      </w:r>
    </w:p>
    <w:p w:rsidR="00F23BC0" w:rsidRPr="00246321" w:rsidRDefault="00F23BC0" w:rsidP="00246321">
      <w:pPr>
        <w:pStyle w:val="a4"/>
        <w:spacing w:after="120" w:line="28" w:lineRule="atLeast"/>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Τελικές διατάξεις</w:t>
      </w:r>
    </w:p>
    <w:p w:rsidR="008C0452" w:rsidRPr="00246321" w:rsidRDefault="008C0452" w:rsidP="007E26CE">
      <w:pPr>
        <w:tabs>
          <w:tab w:val="left" w:pos="360"/>
        </w:tabs>
        <w:spacing w:afterLines="60" w:line="28" w:lineRule="atLeast"/>
        <w:ind w:right="38"/>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Η ισχύς της παρούσας Απόφασης αρχίζει από τη δημοσίευσή της στην Εφημερίδα της Κυβερνήσεως.</w:t>
      </w:r>
    </w:p>
    <w:p w:rsidR="008C0452" w:rsidRPr="00246321" w:rsidRDefault="008C0452" w:rsidP="007E26CE">
      <w:pPr>
        <w:spacing w:afterLines="60" w:line="28" w:lineRule="atLeast"/>
        <w:ind w:right="38"/>
        <w:jc w:val="both"/>
        <w:rPr>
          <w:rFonts w:asciiTheme="minorHAnsi" w:hAnsiTheme="minorHAnsi" w:cstheme="minorHAnsi"/>
          <w:sz w:val="24"/>
          <w:szCs w:val="24"/>
          <w:lang w:val="el-GR"/>
        </w:rPr>
      </w:pPr>
      <w:r w:rsidRPr="00246321">
        <w:rPr>
          <w:rFonts w:asciiTheme="minorHAnsi" w:hAnsiTheme="minorHAnsi" w:cstheme="minorHAnsi"/>
          <w:sz w:val="24"/>
          <w:szCs w:val="24"/>
          <w:lang w:val="el-GR"/>
        </w:rPr>
        <w:t>Η Απόφαση αυτή να δημοσιευθεί στην Εφημερίδα της Κυβερνήσεως.</w:t>
      </w:r>
    </w:p>
    <w:p w:rsidR="008C0452" w:rsidRPr="00246321" w:rsidRDefault="008C0452" w:rsidP="007E26CE">
      <w:pPr>
        <w:spacing w:afterLines="60" w:line="28" w:lineRule="atLeast"/>
        <w:ind w:right="38"/>
        <w:jc w:val="both"/>
        <w:rPr>
          <w:rFonts w:asciiTheme="minorHAnsi" w:hAnsiTheme="minorHAnsi" w:cstheme="minorHAnsi"/>
          <w:sz w:val="24"/>
          <w:szCs w:val="24"/>
          <w:lang w:val="el-GR"/>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7"/>
        <w:gridCol w:w="1405"/>
        <w:gridCol w:w="3782"/>
      </w:tblGrid>
      <w:tr w:rsidR="004D49F8" w:rsidRPr="00246321" w:rsidTr="00655539">
        <w:tc>
          <w:tcPr>
            <w:tcW w:w="4077" w:type="dxa"/>
          </w:tcPr>
          <w:p w:rsidR="00655539" w:rsidRPr="00246321" w:rsidRDefault="004D49F8" w:rsidP="007E26CE">
            <w:pPr>
              <w:spacing w:afterLines="60" w:line="28" w:lineRule="atLeast"/>
              <w:ind w:right="38"/>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Ο ΑΝΑΠΛΗΡΩΤΗΣ ΥΠΟΥΡΓΟΣ ΟΙΚΟΝΟΜΙΑΣ ΚΑΙ ΑΝΑΠΤΥΞΗΣ</w:t>
            </w:r>
          </w:p>
          <w:p w:rsidR="00655539" w:rsidRPr="00246321" w:rsidRDefault="00655539" w:rsidP="007E26CE">
            <w:pPr>
              <w:spacing w:afterLines="60" w:line="28" w:lineRule="atLeast"/>
              <w:ind w:right="38"/>
              <w:jc w:val="center"/>
              <w:rPr>
                <w:rFonts w:asciiTheme="minorHAnsi" w:hAnsiTheme="minorHAnsi" w:cstheme="minorHAnsi"/>
                <w:b/>
                <w:sz w:val="24"/>
                <w:szCs w:val="24"/>
                <w:lang w:val="el-GR"/>
              </w:rPr>
            </w:pPr>
          </w:p>
          <w:p w:rsidR="00655539" w:rsidRPr="00246321" w:rsidRDefault="00655539" w:rsidP="007E26CE">
            <w:pPr>
              <w:spacing w:afterLines="60" w:line="28" w:lineRule="atLeast"/>
              <w:ind w:right="38"/>
              <w:jc w:val="center"/>
              <w:rPr>
                <w:rFonts w:asciiTheme="minorHAnsi" w:hAnsiTheme="minorHAnsi" w:cstheme="minorHAnsi"/>
                <w:b/>
                <w:sz w:val="24"/>
                <w:szCs w:val="24"/>
                <w:lang w:val="el-GR"/>
              </w:rPr>
            </w:pPr>
          </w:p>
          <w:p w:rsidR="004D49F8" w:rsidRPr="00246321" w:rsidRDefault="004D49F8" w:rsidP="007E26CE">
            <w:pPr>
              <w:spacing w:afterLines="60" w:line="28" w:lineRule="atLeast"/>
              <w:ind w:right="38"/>
              <w:jc w:val="center"/>
              <w:rPr>
                <w:rFonts w:asciiTheme="minorHAnsi" w:hAnsiTheme="minorHAnsi" w:cstheme="minorHAnsi"/>
                <w:sz w:val="24"/>
                <w:szCs w:val="24"/>
                <w:lang w:val="el-GR"/>
              </w:rPr>
            </w:pPr>
            <w:r w:rsidRPr="00246321">
              <w:rPr>
                <w:rFonts w:asciiTheme="minorHAnsi" w:hAnsiTheme="minorHAnsi" w:cstheme="minorHAnsi"/>
                <w:b/>
                <w:sz w:val="24"/>
                <w:szCs w:val="24"/>
                <w:lang w:val="el-GR"/>
              </w:rPr>
              <w:t>ΑΛΕΞΑΝΔΡΟΣ ΧΑΡΙΤΣΗΣ</w:t>
            </w:r>
          </w:p>
        </w:tc>
        <w:tc>
          <w:tcPr>
            <w:tcW w:w="1560" w:type="dxa"/>
          </w:tcPr>
          <w:p w:rsidR="004D49F8" w:rsidRPr="00246321" w:rsidRDefault="004D49F8" w:rsidP="007E26CE">
            <w:pPr>
              <w:spacing w:afterLines="60" w:line="28" w:lineRule="atLeast"/>
              <w:ind w:right="38"/>
              <w:jc w:val="both"/>
              <w:rPr>
                <w:rFonts w:asciiTheme="minorHAnsi" w:hAnsiTheme="minorHAnsi" w:cstheme="minorHAnsi"/>
                <w:b/>
                <w:sz w:val="24"/>
                <w:szCs w:val="24"/>
                <w:lang w:val="el-GR"/>
              </w:rPr>
            </w:pPr>
          </w:p>
        </w:tc>
        <w:tc>
          <w:tcPr>
            <w:tcW w:w="4076" w:type="dxa"/>
          </w:tcPr>
          <w:p w:rsidR="00655539" w:rsidRPr="00246321" w:rsidRDefault="004D49F8" w:rsidP="007E26CE">
            <w:pPr>
              <w:spacing w:afterLines="60" w:line="28" w:lineRule="atLeast"/>
              <w:ind w:right="38"/>
              <w:jc w:val="center"/>
              <w:rPr>
                <w:rFonts w:asciiTheme="minorHAnsi" w:hAnsiTheme="minorHAnsi" w:cstheme="minorHAnsi"/>
                <w:b/>
                <w:sz w:val="24"/>
                <w:szCs w:val="24"/>
                <w:lang w:val="el-GR"/>
              </w:rPr>
            </w:pPr>
            <w:r w:rsidRPr="00246321">
              <w:rPr>
                <w:rFonts w:asciiTheme="minorHAnsi" w:hAnsiTheme="minorHAnsi" w:cstheme="minorHAnsi"/>
                <w:b/>
                <w:sz w:val="24"/>
                <w:szCs w:val="24"/>
                <w:lang w:val="el-GR"/>
              </w:rPr>
              <w:t>Ο ΥΠΟΥΡΓΟΣ ΑΓΡΟΤΙΚΗΣ ΑΝΑΠΤΥΞΗΣ ΚΑΙ ΤΡΟΦΙΜΩΝ</w:t>
            </w:r>
          </w:p>
          <w:p w:rsidR="00655539" w:rsidRPr="00246321" w:rsidRDefault="00655539" w:rsidP="007E26CE">
            <w:pPr>
              <w:spacing w:afterLines="60" w:line="28" w:lineRule="atLeast"/>
              <w:ind w:right="38"/>
              <w:jc w:val="center"/>
              <w:rPr>
                <w:rFonts w:asciiTheme="minorHAnsi" w:hAnsiTheme="minorHAnsi" w:cstheme="minorHAnsi"/>
                <w:b/>
                <w:sz w:val="24"/>
                <w:szCs w:val="24"/>
                <w:lang w:val="el-GR"/>
              </w:rPr>
            </w:pPr>
          </w:p>
          <w:p w:rsidR="00655539" w:rsidRPr="00246321" w:rsidRDefault="00655539" w:rsidP="007E26CE">
            <w:pPr>
              <w:spacing w:afterLines="60" w:line="28" w:lineRule="atLeast"/>
              <w:ind w:right="38"/>
              <w:jc w:val="center"/>
              <w:rPr>
                <w:rFonts w:asciiTheme="minorHAnsi" w:hAnsiTheme="minorHAnsi" w:cstheme="minorHAnsi"/>
                <w:b/>
                <w:sz w:val="24"/>
                <w:szCs w:val="24"/>
                <w:lang w:val="el-GR"/>
              </w:rPr>
            </w:pPr>
          </w:p>
          <w:p w:rsidR="004D49F8" w:rsidRPr="00246321" w:rsidRDefault="004D49F8" w:rsidP="007E26CE">
            <w:pPr>
              <w:spacing w:afterLines="60" w:line="28" w:lineRule="atLeast"/>
              <w:ind w:right="38"/>
              <w:jc w:val="center"/>
              <w:rPr>
                <w:rFonts w:asciiTheme="minorHAnsi" w:hAnsiTheme="minorHAnsi" w:cstheme="minorHAnsi"/>
                <w:sz w:val="24"/>
                <w:szCs w:val="24"/>
                <w:lang w:val="el-GR"/>
              </w:rPr>
            </w:pPr>
            <w:r w:rsidRPr="00246321">
              <w:rPr>
                <w:rFonts w:asciiTheme="minorHAnsi" w:hAnsiTheme="minorHAnsi" w:cstheme="minorHAnsi"/>
                <w:b/>
                <w:sz w:val="24"/>
                <w:szCs w:val="24"/>
                <w:lang w:val="el-GR"/>
              </w:rPr>
              <w:t>ΕΥΑΓΓΕΛΟΣ ΑΠΟΣΤΟΛΟΥ</w:t>
            </w:r>
          </w:p>
        </w:tc>
      </w:tr>
    </w:tbl>
    <w:p w:rsidR="004D49F8" w:rsidRPr="00246321" w:rsidRDefault="004D49F8" w:rsidP="007E26CE">
      <w:pPr>
        <w:spacing w:afterLines="60" w:line="28" w:lineRule="atLeast"/>
        <w:ind w:right="38"/>
        <w:jc w:val="both"/>
        <w:rPr>
          <w:rFonts w:asciiTheme="minorHAnsi" w:hAnsiTheme="minorHAnsi" w:cstheme="minorHAnsi"/>
          <w:sz w:val="24"/>
          <w:szCs w:val="24"/>
          <w:lang w:val="el-GR"/>
        </w:rPr>
      </w:pPr>
    </w:p>
    <w:p w:rsidR="008C0452" w:rsidRPr="00246321" w:rsidRDefault="008C0452" w:rsidP="007E26CE">
      <w:pPr>
        <w:tabs>
          <w:tab w:val="center" w:pos="851"/>
          <w:tab w:val="center" w:pos="6521"/>
        </w:tabs>
        <w:spacing w:afterLines="60" w:line="28" w:lineRule="atLeast"/>
        <w:ind w:right="38"/>
        <w:rPr>
          <w:rFonts w:asciiTheme="minorHAnsi" w:hAnsiTheme="minorHAnsi" w:cstheme="minorHAnsi"/>
          <w:b/>
          <w:sz w:val="24"/>
          <w:szCs w:val="24"/>
          <w:lang w:val="el-GR"/>
        </w:rPr>
      </w:pPr>
      <w:r w:rsidRPr="00246321">
        <w:rPr>
          <w:rFonts w:asciiTheme="minorHAnsi" w:hAnsiTheme="minorHAnsi" w:cstheme="minorHAnsi"/>
          <w:b/>
          <w:sz w:val="24"/>
          <w:szCs w:val="24"/>
          <w:lang w:val="el-GR"/>
        </w:rPr>
        <w:tab/>
      </w:r>
    </w:p>
    <w:p w:rsidR="008C0452" w:rsidRPr="00246321" w:rsidRDefault="008C0452" w:rsidP="007E26CE">
      <w:pPr>
        <w:tabs>
          <w:tab w:val="center" w:pos="851"/>
          <w:tab w:val="center" w:pos="6521"/>
        </w:tabs>
        <w:spacing w:afterLines="60" w:line="28" w:lineRule="atLeast"/>
        <w:ind w:right="38"/>
        <w:rPr>
          <w:rFonts w:asciiTheme="minorHAnsi" w:hAnsiTheme="minorHAnsi" w:cstheme="minorHAnsi"/>
          <w:b/>
          <w:sz w:val="24"/>
          <w:szCs w:val="24"/>
          <w:lang w:val="el-GR"/>
        </w:rPr>
      </w:pPr>
      <w:r w:rsidRPr="00246321">
        <w:rPr>
          <w:rFonts w:asciiTheme="minorHAnsi" w:hAnsiTheme="minorHAnsi" w:cstheme="minorHAnsi"/>
          <w:b/>
          <w:sz w:val="24"/>
          <w:szCs w:val="24"/>
          <w:lang w:val="el-GR"/>
        </w:rPr>
        <w:tab/>
      </w:r>
    </w:p>
    <w:p w:rsidR="008C0452" w:rsidRPr="00246321" w:rsidRDefault="008C0452" w:rsidP="0021402D">
      <w:pPr>
        <w:tabs>
          <w:tab w:val="center" w:pos="6521"/>
        </w:tabs>
        <w:spacing w:afterLines="60" w:line="28" w:lineRule="atLeast"/>
        <w:ind w:right="38"/>
        <w:jc w:val="both"/>
        <w:rPr>
          <w:rFonts w:asciiTheme="minorHAnsi" w:hAnsiTheme="minorHAnsi" w:cstheme="minorHAnsi"/>
          <w:b/>
          <w:sz w:val="24"/>
          <w:szCs w:val="24"/>
          <w:lang w:val="el-GR"/>
        </w:rPr>
      </w:pPr>
    </w:p>
    <w:sectPr w:rsidR="008C0452" w:rsidRPr="00246321" w:rsidSect="00246321">
      <w:footerReference w:type="default" r:id="rId9"/>
      <w:pgSz w:w="11910" w:h="16840"/>
      <w:pgMar w:top="1440" w:right="1562" w:bottom="1440" w:left="1560" w:header="0" w:footer="105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575" w:rsidRDefault="00255575">
      <w:r>
        <w:separator/>
      </w:r>
    </w:p>
  </w:endnote>
  <w:endnote w:type="continuationSeparator" w:id="0">
    <w:p w:rsidR="00255575" w:rsidRDefault="00255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31348"/>
      <w:docPartObj>
        <w:docPartGallery w:val="Page Numbers (Bottom of Page)"/>
        <w:docPartUnique/>
      </w:docPartObj>
    </w:sdtPr>
    <w:sdtContent>
      <w:p w:rsidR="00CD5E90" w:rsidRDefault="0021402D">
        <w:pPr>
          <w:pStyle w:val="a7"/>
          <w:jc w:val="right"/>
        </w:pPr>
        <w:r w:rsidRPr="00511D0C">
          <w:rPr>
            <w:sz w:val="20"/>
            <w:szCs w:val="20"/>
          </w:rPr>
          <w:fldChar w:fldCharType="begin"/>
        </w:r>
        <w:r w:rsidR="00CD5E90" w:rsidRPr="00511D0C">
          <w:rPr>
            <w:sz w:val="20"/>
            <w:szCs w:val="20"/>
          </w:rPr>
          <w:instrText>PAGE   \* MERGEFORMAT</w:instrText>
        </w:r>
        <w:r w:rsidRPr="00511D0C">
          <w:rPr>
            <w:sz w:val="20"/>
            <w:szCs w:val="20"/>
          </w:rPr>
          <w:fldChar w:fldCharType="separate"/>
        </w:r>
        <w:r w:rsidR="007E26CE">
          <w:rPr>
            <w:noProof/>
            <w:sz w:val="20"/>
            <w:szCs w:val="20"/>
          </w:rPr>
          <w:t>1</w:t>
        </w:r>
        <w:r w:rsidRPr="00511D0C">
          <w:rPr>
            <w:sz w:val="20"/>
            <w:szCs w:val="20"/>
          </w:rPr>
          <w:fldChar w:fldCharType="end"/>
        </w:r>
      </w:p>
    </w:sdtContent>
  </w:sdt>
  <w:p w:rsidR="00CD5E90" w:rsidRDefault="00CD5E90">
    <w:pPr>
      <w:pStyle w:val="a4"/>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575" w:rsidRDefault="00255575">
      <w:r>
        <w:separator/>
      </w:r>
    </w:p>
  </w:footnote>
  <w:footnote w:type="continuationSeparator" w:id="0">
    <w:p w:rsidR="00255575" w:rsidRDefault="0025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50974A"/>
    <w:lvl w:ilvl="0">
      <w:start w:val="1"/>
      <w:numFmt w:val="bullet"/>
      <w:lvlText w:val=""/>
      <w:lvlJc w:val="left"/>
      <w:pPr>
        <w:tabs>
          <w:tab w:val="num" w:pos="360"/>
        </w:tabs>
        <w:ind w:left="360" w:hanging="360"/>
      </w:pPr>
      <w:rPr>
        <w:rFonts w:ascii="Symbol" w:hAnsi="Symbol" w:hint="default"/>
      </w:rPr>
    </w:lvl>
  </w:abstractNum>
  <w:abstractNum w:abstractNumId="1">
    <w:nsid w:val="00000009"/>
    <w:multiLevelType w:val="multilevel"/>
    <w:tmpl w:val="DF00B078"/>
    <w:name w:val="WW8Num33"/>
    <w:lvl w:ilvl="0">
      <w:start w:val="1"/>
      <w:numFmt w:val="decimal"/>
      <w:lvlText w:val="%1."/>
      <w:lvlJc w:val="left"/>
      <w:pPr>
        <w:tabs>
          <w:tab w:val="num" w:pos="720"/>
        </w:tabs>
        <w:ind w:left="720" w:hanging="360"/>
      </w:pPr>
      <w:rPr>
        <w:rFonts w:cs="Calibri"/>
        <w:b/>
      </w:rPr>
    </w:lvl>
    <w:lvl w:ilvl="1">
      <w:start w:val="1"/>
      <w:numFmt w:val="decimal"/>
      <w:lvlText w:val="%2."/>
      <w:lvlJc w:val="left"/>
      <w:pPr>
        <w:tabs>
          <w:tab w:val="num" w:pos="1443"/>
        </w:tabs>
        <w:ind w:left="1443" w:hanging="363"/>
      </w:pPr>
      <w:rPr>
        <w:rFonts w:hint="default"/>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7F2190"/>
    <w:multiLevelType w:val="hybridMultilevel"/>
    <w:tmpl w:val="514E7A92"/>
    <w:lvl w:ilvl="0" w:tplc="04080011">
      <w:start w:val="1"/>
      <w:numFmt w:val="decimal"/>
      <w:lvlText w:val="%1)"/>
      <w:lvlJc w:val="left"/>
      <w:pPr>
        <w:ind w:left="720" w:hanging="360"/>
      </w:pPr>
      <w:rPr>
        <w:rFonts w:hint="default"/>
      </w:rPr>
    </w:lvl>
    <w:lvl w:ilvl="1" w:tplc="D2B6378E">
      <w:numFmt w:val="bullet"/>
      <w:lvlText w:val="-"/>
      <w:lvlJc w:val="left"/>
      <w:pPr>
        <w:ind w:left="1440" w:hanging="360"/>
      </w:pPr>
      <w:rPr>
        <w:rFonts w:ascii="Calibri" w:eastAsia="Tahoma" w:hAnsi="Calibri"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2855EAE"/>
    <w:multiLevelType w:val="hybridMultilevel"/>
    <w:tmpl w:val="1A3A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D4797A"/>
    <w:multiLevelType w:val="hybridMultilevel"/>
    <w:tmpl w:val="019C18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4124665"/>
    <w:multiLevelType w:val="hybridMultilevel"/>
    <w:tmpl w:val="41B668C0"/>
    <w:lvl w:ilvl="0" w:tplc="FAC63AB8">
      <w:start w:val="1"/>
      <w:numFmt w:val="bullet"/>
      <w:pStyle w:val="a"/>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7B96A95C">
      <w:start w:val="1"/>
      <w:numFmt w:val="bullet"/>
      <w:lvlText w:val="o"/>
      <w:lvlJc w:val="left"/>
      <w:pPr>
        <w:tabs>
          <w:tab w:val="num" w:pos="3600"/>
        </w:tabs>
        <w:ind w:left="3600" w:hanging="360"/>
      </w:pPr>
      <w:rPr>
        <w:rFonts w:ascii="Courier New" w:hAnsi="Courier New" w:hint="default"/>
        <w:sz w:val="20"/>
        <w:szCs w:val="20"/>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6690F47"/>
    <w:multiLevelType w:val="hybridMultilevel"/>
    <w:tmpl w:val="AAC844BA"/>
    <w:lvl w:ilvl="0" w:tplc="9CA28E98">
      <w:start w:val="1"/>
      <w:numFmt w:val="lowerRoman"/>
      <w:lvlText w:val="%1."/>
      <w:lvlJc w:val="right"/>
      <w:pPr>
        <w:tabs>
          <w:tab w:val="num" w:pos="1260"/>
        </w:tabs>
        <w:ind w:left="126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9A24F78"/>
    <w:multiLevelType w:val="hybridMultilevel"/>
    <w:tmpl w:val="664A9658"/>
    <w:lvl w:ilvl="0" w:tplc="04080001">
      <w:start w:val="1"/>
      <w:numFmt w:val="bullet"/>
      <w:lvlText w:val=""/>
      <w:lvlJc w:val="left"/>
      <w:pPr>
        <w:ind w:left="720" w:hanging="360"/>
      </w:pPr>
      <w:rPr>
        <w:rFonts w:ascii="Symbol" w:hAnsi="Symbol" w:hint="default"/>
      </w:rPr>
    </w:lvl>
    <w:lvl w:ilvl="1" w:tplc="E33C04C8">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C2A6820"/>
    <w:multiLevelType w:val="hybridMultilevel"/>
    <w:tmpl w:val="C08676F0"/>
    <w:lvl w:ilvl="0" w:tplc="0408001B">
      <w:start w:val="1"/>
      <w:numFmt w:val="lowerRoman"/>
      <w:lvlText w:val="%1."/>
      <w:lvlJc w:val="right"/>
      <w:pPr>
        <w:ind w:left="1004" w:hanging="360"/>
      </w:pPr>
    </w:lvl>
    <w:lvl w:ilvl="1" w:tplc="04080019" w:tentative="1">
      <w:start w:val="1"/>
      <w:numFmt w:val="lowerLetter"/>
      <w:lvlText w:val="%2."/>
      <w:lvlJc w:val="left"/>
      <w:pPr>
        <w:ind w:left="1724" w:hanging="360"/>
      </w:pPr>
    </w:lvl>
    <w:lvl w:ilvl="2" w:tplc="0408001B">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nsid w:val="0D702A5C"/>
    <w:multiLevelType w:val="multilevel"/>
    <w:tmpl w:val="F3F0C9F6"/>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Symbol" w:hAnsi="Symbol" w:cs="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F282AF8"/>
    <w:multiLevelType w:val="multilevel"/>
    <w:tmpl w:val="6540AF5E"/>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Symbol" w:hAnsi="Symbol" w:cs="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9524E3"/>
    <w:multiLevelType w:val="hybridMultilevel"/>
    <w:tmpl w:val="9C52A272"/>
    <w:lvl w:ilvl="0" w:tplc="9CA28E98">
      <w:start w:val="1"/>
      <w:numFmt w:val="lowerRoman"/>
      <w:lvlText w:val="%1."/>
      <w:lvlJc w:val="right"/>
      <w:pPr>
        <w:tabs>
          <w:tab w:val="num" w:pos="1260"/>
        </w:tabs>
        <w:ind w:left="126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1F17557"/>
    <w:multiLevelType w:val="hybridMultilevel"/>
    <w:tmpl w:val="227A1588"/>
    <w:lvl w:ilvl="0" w:tplc="E04696A0">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15B61837"/>
    <w:multiLevelType w:val="hybridMultilevel"/>
    <w:tmpl w:val="731C741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15E77832"/>
    <w:multiLevelType w:val="hybridMultilevel"/>
    <w:tmpl w:val="DD348D3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nsid w:val="18A95105"/>
    <w:multiLevelType w:val="hybridMultilevel"/>
    <w:tmpl w:val="D4625CAE"/>
    <w:lvl w:ilvl="0" w:tplc="4FEC71D6">
      <w:start w:val="1"/>
      <w:numFmt w:val="bullet"/>
      <w:lvlText w:val=""/>
      <w:lvlJc w:val="left"/>
      <w:pPr>
        <w:ind w:left="720" w:hanging="360"/>
      </w:pPr>
      <w:rPr>
        <w:rFonts w:ascii="Wingdings" w:hAnsi="Wingdings" w:hint="default"/>
        <w:sz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A764964"/>
    <w:multiLevelType w:val="hybridMultilevel"/>
    <w:tmpl w:val="A91AE0A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EDF0BF0"/>
    <w:multiLevelType w:val="hybridMultilevel"/>
    <w:tmpl w:val="6A48E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17A7654"/>
    <w:multiLevelType w:val="hybridMultilevel"/>
    <w:tmpl w:val="8DAA1392"/>
    <w:lvl w:ilvl="0" w:tplc="0408000F">
      <w:start w:val="1"/>
      <w:numFmt w:val="decimal"/>
      <w:lvlText w:val="%1."/>
      <w:lvlJc w:val="left"/>
      <w:pPr>
        <w:ind w:left="1364" w:hanging="360"/>
      </w:p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19">
    <w:nsid w:val="29927B1A"/>
    <w:multiLevelType w:val="hybridMultilevel"/>
    <w:tmpl w:val="935A7C9C"/>
    <w:lvl w:ilvl="0" w:tplc="9CA28E98">
      <w:start w:val="1"/>
      <w:numFmt w:val="lowerRoman"/>
      <w:lvlText w:val="%1."/>
      <w:lvlJc w:val="right"/>
      <w:pPr>
        <w:tabs>
          <w:tab w:val="num" w:pos="1260"/>
        </w:tabs>
        <w:ind w:left="1260" w:hanging="180"/>
      </w:pPr>
      <w:rPr>
        <w:rFonts w:hint="default"/>
      </w:rPr>
    </w:lvl>
    <w:lvl w:ilvl="1" w:tplc="4EBA92F6">
      <w:start w:val="2"/>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058593B"/>
    <w:multiLevelType w:val="hybridMultilevel"/>
    <w:tmpl w:val="1A0A5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23B3527"/>
    <w:multiLevelType w:val="hybridMultilevel"/>
    <w:tmpl w:val="B5E491E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nsid w:val="35025E68"/>
    <w:multiLevelType w:val="hybridMultilevel"/>
    <w:tmpl w:val="38E07044"/>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nsid w:val="355F2D71"/>
    <w:multiLevelType w:val="hybridMultilevel"/>
    <w:tmpl w:val="E91691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358C742F"/>
    <w:multiLevelType w:val="hybridMultilevel"/>
    <w:tmpl w:val="636240AC"/>
    <w:lvl w:ilvl="0" w:tplc="A11637B8">
      <w:numFmt w:val="bullet"/>
      <w:lvlText w:val="•"/>
      <w:lvlJc w:val="left"/>
      <w:pPr>
        <w:ind w:left="644" w:hanging="360"/>
      </w:pPr>
      <w:rPr>
        <w:rFonts w:ascii="Calibri" w:eastAsia="Tahoma" w:hAnsi="Calibri"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5">
    <w:nsid w:val="38815AF6"/>
    <w:multiLevelType w:val="hybridMultilevel"/>
    <w:tmpl w:val="D652A72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26">
    <w:nsid w:val="396808E6"/>
    <w:multiLevelType w:val="hybridMultilevel"/>
    <w:tmpl w:val="CED67B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A0B029D"/>
    <w:multiLevelType w:val="hybridMultilevel"/>
    <w:tmpl w:val="CBD08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2073BDC"/>
    <w:multiLevelType w:val="hybridMultilevel"/>
    <w:tmpl w:val="6B1A5696"/>
    <w:lvl w:ilvl="0" w:tplc="AC46962A">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44A81BEB"/>
    <w:multiLevelType w:val="hybridMultilevel"/>
    <w:tmpl w:val="7C8C8610"/>
    <w:lvl w:ilvl="0" w:tplc="0408001B">
      <w:start w:val="1"/>
      <w:numFmt w:val="lowerRoman"/>
      <w:lvlText w:val="%1."/>
      <w:lvlJc w:val="righ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nsid w:val="47BF232A"/>
    <w:multiLevelType w:val="hybridMultilevel"/>
    <w:tmpl w:val="84006E3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nsid w:val="48942671"/>
    <w:multiLevelType w:val="hybridMultilevel"/>
    <w:tmpl w:val="E7204F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2">
    <w:nsid w:val="49E7684D"/>
    <w:multiLevelType w:val="hybridMultilevel"/>
    <w:tmpl w:val="650AC69C"/>
    <w:lvl w:ilvl="0" w:tplc="9CA28E98">
      <w:start w:val="1"/>
      <w:numFmt w:val="lowerRoman"/>
      <w:lvlText w:val="%1."/>
      <w:lvlJc w:val="right"/>
      <w:pPr>
        <w:tabs>
          <w:tab w:val="num" w:pos="1260"/>
        </w:tabs>
        <w:ind w:left="126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4AF73879"/>
    <w:multiLevelType w:val="hybridMultilevel"/>
    <w:tmpl w:val="96C8D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C603F83"/>
    <w:multiLevelType w:val="hybridMultilevel"/>
    <w:tmpl w:val="24A42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CA770CB"/>
    <w:multiLevelType w:val="multilevel"/>
    <w:tmpl w:val="DF00B078"/>
    <w:lvl w:ilvl="0">
      <w:start w:val="1"/>
      <w:numFmt w:val="decimal"/>
      <w:lvlText w:val="%1."/>
      <w:lvlJc w:val="left"/>
      <w:pPr>
        <w:tabs>
          <w:tab w:val="num" w:pos="720"/>
        </w:tabs>
        <w:ind w:left="720" w:hanging="360"/>
      </w:pPr>
      <w:rPr>
        <w:rFonts w:cs="Calibri"/>
        <w:b/>
      </w:rPr>
    </w:lvl>
    <w:lvl w:ilvl="1">
      <w:start w:val="1"/>
      <w:numFmt w:val="decimal"/>
      <w:lvlText w:val="%2."/>
      <w:lvlJc w:val="left"/>
      <w:pPr>
        <w:tabs>
          <w:tab w:val="num" w:pos="1443"/>
        </w:tabs>
        <w:ind w:left="1443" w:hanging="363"/>
      </w:pPr>
      <w:rPr>
        <w:rFonts w:hint="default"/>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D3A01F8"/>
    <w:multiLevelType w:val="hybridMultilevel"/>
    <w:tmpl w:val="6DFCE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4E64630"/>
    <w:multiLevelType w:val="hybridMultilevel"/>
    <w:tmpl w:val="A1DADB4A"/>
    <w:lvl w:ilvl="0" w:tplc="4EB84C8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79C54EE"/>
    <w:multiLevelType w:val="multilevel"/>
    <w:tmpl w:val="D430C568"/>
    <w:lvl w:ilvl="0">
      <w:start w:val="1"/>
      <w:numFmt w:val="bullet"/>
      <w:lvlText w:val=""/>
      <w:lvlJc w:val="left"/>
      <w:pPr>
        <w:ind w:left="360" w:hanging="360"/>
      </w:pPr>
      <w:rPr>
        <w:rFonts w:ascii="Symbol" w:hAnsi="Symbol" w:cs="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C561B8F"/>
    <w:multiLevelType w:val="hybridMultilevel"/>
    <w:tmpl w:val="8DF21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D25187C"/>
    <w:multiLevelType w:val="hybridMultilevel"/>
    <w:tmpl w:val="1CE25140"/>
    <w:lvl w:ilvl="0" w:tplc="9CA28E98">
      <w:start w:val="1"/>
      <w:numFmt w:val="lowerRoman"/>
      <w:lvlText w:val="%1."/>
      <w:lvlJc w:val="right"/>
      <w:pPr>
        <w:tabs>
          <w:tab w:val="num" w:pos="1260"/>
        </w:tabs>
        <w:ind w:left="126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61996F0D"/>
    <w:multiLevelType w:val="hybridMultilevel"/>
    <w:tmpl w:val="2494C7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24A04C1"/>
    <w:multiLevelType w:val="hybridMultilevel"/>
    <w:tmpl w:val="3A482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5BB0BF5"/>
    <w:multiLevelType w:val="hybridMultilevel"/>
    <w:tmpl w:val="78CEF1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nsid w:val="66A357DA"/>
    <w:multiLevelType w:val="multilevel"/>
    <w:tmpl w:val="DB666BAA"/>
    <w:lvl w:ilvl="0">
      <w:start w:val="1"/>
      <w:numFmt w:val="bullet"/>
      <w:lvlText w:val=""/>
      <w:lvlJc w:val="left"/>
      <w:pPr>
        <w:ind w:left="360" w:hanging="360"/>
      </w:pPr>
      <w:rPr>
        <w:rFonts w:ascii="Symbol" w:hAnsi="Symbol" w:cs="Symbol" w:hint="default"/>
      </w:rPr>
    </w:lvl>
    <w:lvl w:ilvl="1">
      <w:start w:val="1"/>
      <w:numFmt w:val="bullet"/>
      <w:lvlText w:val=""/>
      <w:lvlJc w:val="left"/>
      <w:pPr>
        <w:ind w:left="720" w:hanging="360"/>
      </w:pPr>
      <w:rPr>
        <w:rFonts w:ascii="Symbol" w:hAnsi="Symbol" w:cs="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C4A1CE5"/>
    <w:multiLevelType w:val="hybridMultilevel"/>
    <w:tmpl w:val="442E0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D757D67"/>
    <w:multiLevelType w:val="hybridMultilevel"/>
    <w:tmpl w:val="7BDAC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0455AB3"/>
    <w:multiLevelType w:val="hybridMultilevel"/>
    <w:tmpl w:val="A0705A9C"/>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12C68A4"/>
    <w:multiLevelType w:val="hybridMultilevel"/>
    <w:tmpl w:val="D73A54B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9">
    <w:nsid w:val="7CFA5853"/>
    <w:multiLevelType w:val="hybridMultilevel"/>
    <w:tmpl w:val="60DC4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34"/>
  </w:num>
  <w:num w:numId="4">
    <w:abstractNumId w:val="5"/>
  </w:num>
  <w:num w:numId="5">
    <w:abstractNumId w:val="9"/>
  </w:num>
  <w:num w:numId="6">
    <w:abstractNumId w:val="2"/>
  </w:num>
  <w:num w:numId="7">
    <w:abstractNumId w:val="4"/>
  </w:num>
  <w:num w:numId="8">
    <w:abstractNumId w:val="1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6"/>
  </w:num>
  <w:num w:numId="12">
    <w:abstractNumId w:val="13"/>
  </w:num>
  <w:num w:numId="13">
    <w:abstractNumId w:val="37"/>
  </w:num>
  <w:num w:numId="14">
    <w:abstractNumId w:val="8"/>
  </w:num>
  <w:num w:numId="15">
    <w:abstractNumId w:val="21"/>
  </w:num>
  <w:num w:numId="16">
    <w:abstractNumId w:val="26"/>
  </w:num>
  <w:num w:numId="17">
    <w:abstractNumId w:val="7"/>
  </w:num>
  <w:num w:numId="18">
    <w:abstractNumId w:val="3"/>
  </w:num>
  <w:num w:numId="19">
    <w:abstractNumId w:val="47"/>
  </w:num>
  <w:num w:numId="20">
    <w:abstractNumId w:val="17"/>
  </w:num>
  <w:num w:numId="21">
    <w:abstractNumId w:val="22"/>
  </w:num>
  <w:num w:numId="22">
    <w:abstractNumId w:val="46"/>
  </w:num>
  <w:num w:numId="23">
    <w:abstractNumId w:val="41"/>
  </w:num>
  <w:num w:numId="24">
    <w:abstractNumId w:val="15"/>
  </w:num>
  <w:num w:numId="25">
    <w:abstractNumId w:val="45"/>
  </w:num>
  <w:num w:numId="26">
    <w:abstractNumId w:val="25"/>
  </w:num>
  <w:num w:numId="27">
    <w:abstractNumId w:val="19"/>
  </w:num>
  <w:num w:numId="28">
    <w:abstractNumId w:val="40"/>
  </w:num>
  <w:num w:numId="29">
    <w:abstractNumId w:val="32"/>
  </w:num>
  <w:num w:numId="30">
    <w:abstractNumId w:val="6"/>
  </w:num>
  <w:num w:numId="31">
    <w:abstractNumId w:val="11"/>
  </w:num>
  <w:num w:numId="32">
    <w:abstractNumId w:val="28"/>
  </w:num>
  <w:num w:numId="33">
    <w:abstractNumId w:val="36"/>
  </w:num>
  <w:num w:numId="34">
    <w:abstractNumId w:val="33"/>
  </w:num>
  <w:num w:numId="35">
    <w:abstractNumId w:val="30"/>
  </w:num>
  <w:num w:numId="36">
    <w:abstractNumId w:val="49"/>
  </w:num>
  <w:num w:numId="37">
    <w:abstractNumId w:val="14"/>
  </w:num>
  <w:num w:numId="38">
    <w:abstractNumId w:val="20"/>
  </w:num>
  <w:num w:numId="39">
    <w:abstractNumId w:val="48"/>
  </w:num>
  <w:num w:numId="40">
    <w:abstractNumId w:val="31"/>
  </w:num>
  <w:num w:numId="41">
    <w:abstractNumId w:val="44"/>
  </w:num>
  <w:num w:numId="42">
    <w:abstractNumId w:val="38"/>
  </w:num>
  <w:num w:numId="43">
    <w:abstractNumId w:val="27"/>
  </w:num>
  <w:num w:numId="44">
    <w:abstractNumId w:val="39"/>
  </w:num>
  <w:num w:numId="45">
    <w:abstractNumId w:val="18"/>
  </w:num>
  <w:num w:numId="46">
    <w:abstractNumId w:val="0"/>
  </w:num>
  <w:num w:numId="47">
    <w:abstractNumId w:val="23"/>
  </w:num>
  <w:num w:numId="48">
    <w:abstractNumId w:val="12"/>
  </w:num>
  <w:num w:numId="49">
    <w:abstractNumId w:val="42"/>
  </w:num>
  <w:num w:numId="50">
    <w:abstractNumId w:val="3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
  <w:rsids>
    <w:rsidRoot w:val="008C133C"/>
    <w:rsid w:val="00006E58"/>
    <w:rsid w:val="00007C58"/>
    <w:rsid w:val="000139F8"/>
    <w:rsid w:val="00013E7A"/>
    <w:rsid w:val="00021C3D"/>
    <w:rsid w:val="000223DB"/>
    <w:rsid w:val="00027D0E"/>
    <w:rsid w:val="0003613D"/>
    <w:rsid w:val="00041D08"/>
    <w:rsid w:val="00047BAB"/>
    <w:rsid w:val="00051119"/>
    <w:rsid w:val="000532F9"/>
    <w:rsid w:val="000613C6"/>
    <w:rsid w:val="000622C4"/>
    <w:rsid w:val="00066F21"/>
    <w:rsid w:val="000725D7"/>
    <w:rsid w:val="000733DE"/>
    <w:rsid w:val="00073EFB"/>
    <w:rsid w:val="000818C5"/>
    <w:rsid w:val="0008278A"/>
    <w:rsid w:val="00083A45"/>
    <w:rsid w:val="00097DC5"/>
    <w:rsid w:val="000A5B78"/>
    <w:rsid w:val="000A68D9"/>
    <w:rsid w:val="000A6FB8"/>
    <w:rsid w:val="000B1B7D"/>
    <w:rsid w:val="000B4286"/>
    <w:rsid w:val="000B5068"/>
    <w:rsid w:val="000C270A"/>
    <w:rsid w:val="000C3381"/>
    <w:rsid w:val="000C3CA1"/>
    <w:rsid w:val="000C4107"/>
    <w:rsid w:val="000C600F"/>
    <w:rsid w:val="000D0540"/>
    <w:rsid w:val="000D05DD"/>
    <w:rsid w:val="000D373A"/>
    <w:rsid w:val="000D5A79"/>
    <w:rsid w:val="000E779F"/>
    <w:rsid w:val="000F3BF9"/>
    <w:rsid w:val="000F7114"/>
    <w:rsid w:val="000F77C2"/>
    <w:rsid w:val="0010050E"/>
    <w:rsid w:val="00111079"/>
    <w:rsid w:val="00113B6F"/>
    <w:rsid w:val="00114F7F"/>
    <w:rsid w:val="001150FD"/>
    <w:rsid w:val="00116E6E"/>
    <w:rsid w:val="001208C5"/>
    <w:rsid w:val="00120A7A"/>
    <w:rsid w:val="001216BA"/>
    <w:rsid w:val="0012432C"/>
    <w:rsid w:val="0014223C"/>
    <w:rsid w:val="0014325F"/>
    <w:rsid w:val="0015341B"/>
    <w:rsid w:val="00160A28"/>
    <w:rsid w:val="001611EE"/>
    <w:rsid w:val="00164A60"/>
    <w:rsid w:val="00164E94"/>
    <w:rsid w:val="00165934"/>
    <w:rsid w:val="00173E56"/>
    <w:rsid w:val="0017409D"/>
    <w:rsid w:val="001748E4"/>
    <w:rsid w:val="0017516C"/>
    <w:rsid w:val="00185C84"/>
    <w:rsid w:val="00191844"/>
    <w:rsid w:val="001952D8"/>
    <w:rsid w:val="00195BA1"/>
    <w:rsid w:val="001A202F"/>
    <w:rsid w:val="001A3544"/>
    <w:rsid w:val="001B0996"/>
    <w:rsid w:val="001B5CF4"/>
    <w:rsid w:val="001B72A2"/>
    <w:rsid w:val="001C5ED7"/>
    <w:rsid w:val="001C73CC"/>
    <w:rsid w:val="001E2AFB"/>
    <w:rsid w:val="001E6C60"/>
    <w:rsid w:val="001F1209"/>
    <w:rsid w:val="001F7DEC"/>
    <w:rsid w:val="00206343"/>
    <w:rsid w:val="00206B01"/>
    <w:rsid w:val="002129A2"/>
    <w:rsid w:val="0021402D"/>
    <w:rsid w:val="0022140C"/>
    <w:rsid w:val="00222FDA"/>
    <w:rsid w:val="00224392"/>
    <w:rsid w:val="002243EF"/>
    <w:rsid w:val="002256AC"/>
    <w:rsid w:val="002307E1"/>
    <w:rsid w:val="00232DD1"/>
    <w:rsid w:val="0023554E"/>
    <w:rsid w:val="00244E2C"/>
    <w:rsid w:val="00244FF9"/>
    <w:rsid w:val="00246321"/>
    <w:rsid w:val="00252531"/>
    <w:rsid w:val="00253403"/>
    <w:rsid w:val="00255575"/>
    <w:rsid w:val="00257B5E"/>
    <w:rsid w:val="002661AA"/>
    <w:rsid w:val="00276CBB"/>
    <w:rsid w:val="002821D4"/>
    <w:rsid w:val="00282FDE"/>
    <w:rsid w:val="00284F1A"/>
    <w:rsid w:val="00287932"/>
    <w:rsid w:val="00290470"/>
    <w:rsid w:val="00296D5B"/>
    <w:rsid w:val="002977CA"/>
    <w:rsid w:val="0029793C"/>
    <w:rsid w:val="002A425E"/>
    <w:rsid w:val="002A7D4E"/>
    <w:rsid w:val="002B013D"/>
    <w:rsid w:val="002B3CE3"/>
    <w:rsid w:val="002B3E38"/>
    <w:rsid w:val="002C4C24"/>
    <w:rsid w:val="002C606E"/>
    <w:rsid w:val="002C77B7"/>
    <w:rsid w:val="002D1D52"/>
    <w:rsid w:val="002D60B2"/>
    <w:rsid w:val="002D684F"/>
    <w:rsid w:val="002D70C2"/>
    <w:rsid w:val="002E0F7D"/>
    <w:rsid w:val="002E15F9"/>
    <w:rsid w:val="002E1C36"/>
    <w:rsid w:val="002E6543"/>
    <w:rsid w:val="002E782C"/>
    <w:rsid w:val="002E7B5C"/>
    <w:rsid w:val="002F35E6"/>
    <w:rsid w:val="002F36E9"/>
    <w:rsid w:val="002F42FA"/>
    <w:rsid w:val="002F43DE"/>
    <w:rsid w:val="00300975"/>
    <w:rsid w:val="00302C9B"/>
    <w:rsid w:val="003038EA"/>
    <w:rsid w:val="00310A75"/>
    <w:rsid w:val="003142AB"/>
    <w:rsid w:val="00321AD2"/>
    <w:rsid w:val="003253ED"/>
    <w:rsid w:val="0032770A"/>
    <w:rsid w:val="003349EF"/>
    <w:rsid w:val="0034025A"/>
    <w:rsid w:val="00340A3D"/>
    <w:rsid w:val="00344354"/>
    <w:rsid w:val="00346F2C"/>
    <w:rsid w:val="00353064"/>
    <w:rsid w:val="003558CC"/>
    <w:rsid w:val="00360C25"/>
    <w:rsid w:val="003618CE"/>
    <w:rsid w:val="00363B3E"/>
    <w:rsid w:val="00364161"/>
    <w:rsid w:val="00365375"/>
    <w:rsid w:val="00366823"/>
    <w:rsid w:val="00370E5F"/>
    <w:rsid w:val="003714A6"/>
    <w:rsid w:val="003811FF"/>
    <w:rsid w:val="003837F8"/>
    <w:rsid w:val="00383C21"/>
    <w:rsid w:val="00387700"/>
    <w:rsid w:val="0039109F"/>
    <w:rsid w:val="003922DA"/>
    <w:rsid w:val="003A18FF"/>
    <w:rsid w:val="003A1A04"/>
    <w:rsid w:val="003A3CB1"/>
    <w:rsid w:val="003A41FB"/>
    <w:rsid w:val="003A47E5"/>
    <w:rsid w:val="003A5BCB"/>
    <w:rsid w:val="003A7F0D"/>
    <w:rsid w:val="003C5689"/>
    <w:rsid w:val="003D0F5D"/>
    <w:rsid w:val="003D30A2"/>
    <w:rsid w:val="003D3193"/>
    <w:rsid w:val="003D4C64"/>
    <w:rsid w:val="003D6BEF"/>
    <w:rsid w:val="003D7712"/>
    <w:rsid w:val="003D78EA"/>
    <w:rsid w:val="003E3D7B"/>
    <w:rsid w:val="003E4C18"/>
    <w:rsid w:val="003E53E2"/>
    <w:rsid w:val="003E6F5C"/>
    <w:rsid w:val="003E7F76"/>
    <w:rsid w:val="003F0072"/>
    <w:rsid w:val="003F3AC5"/>
    <w:rsid w:val="003F3F03"/>
    <w:rsid w:val="00404A31"/>
    <w:rsid w:val="00410E93"/>
    <w:rsid w:val="0041486E"/>
    <w:rsid w:val="00417796"/>
    <w:rsid w:val="0042118A"/>
    <w:rsid w:val="00422F93"/>
    <w:rsid w:val="0042521D"/>
    <w:rsid w:val="004371DC"/>
    <w:rsid w:val="0044082C"/>
    <w:rsid w:val="00456F0E"/>
    <w:rsid w:val="00461646"/>
    <w:rsid w:val="00462344"/>
    <w:rsid w:val="004631F7"/>
    <w:rsid w:val="004636D9"/>
    <w:rsid w:val="00472705"/>
    <w:rsid w:val="00475EBA"/>
    <w:rsid w:val="004811E7"/>
    <w:rsid w:val="00481CF7"/>
    <w:rsid w:val="00483025"/>
    <w:rsid w:val="00485055"/>
    <w:rsid w:val="004850D9"/>
    <w:rsid w:val="004867BC"/>
    <w:rsid w:val="004870D2"/>
    <w:rsid w:val="00494C69"/>
    <w:rsid w:val="004A4A85"/>
    <w:rsid w:val="004B1EA5"/>
    <w:rsid w:val="004C3825"/>
    <w:rsid w:val="004C54A3"/>
    <w:rsid w:val="004D22AD"/>
    <w:rsid w:val="004D3ADB"/>
    <w:rsid w:val="004D49F8"/>
    <w:rsid w:val="004D7BA0"/>
    <w:rsid w:val="004E2E4B"/>
    <w:rsid w:val="004E6CC9"/>
    <w:rsid w:val="004F0F0A"/>
    <w:rsid w:val="004F1B70"/>
    <w:rsid w:val="004F3FC8"/>
    <w:rsid w:val="004F570B"/>
    <w:rsid w:val="004F6CA4"/>
    <w:rsid w:val="005023C3"/>
    <w:rsid w:val="00506112"/>
    <w:rsid w:val="00510D2B"/>
    <w:rsid w:val="00510EDF"/>
    <w:rsid w:val="00511D0C"/>
    <w:rsid w:val="00512391"/>
    <w:rsid w:val="00514A16"/>
    <w:rsid w:val="00514D06"/>
    <w:rsid w:val="005170E4"/>
    <w:rsid w:val="005210E6"/>
    <w:rsid w:val="00531BC9"/>
    <w:rsid w:val="00532B9B"/>
    <w:rsid w:val="00536064"/>
    <w:rsid w:val="005414D2"/>
    <w:rsid w:val="00544C01"/>
    <w:rsid w:val="00546FAF"/>
    <w:rsid w:val="0054730B"/>
    <w:rsid w:val="005521AB"/>
    <w:rsid w:val="005525E0"/>
    <w:rsid w:val="00553236"/>
    <w:rsid w:val="00557E6B"/>
    <w:rsid w:val="00561026"/>
    <w:rsid w:val="00562EDD"/>
    <w:rsid w:val="0058394D"/>
    <w:rsid w:val="005861C2"/>
    <w:rsid w:val="0058787B"/>
    <w:rsid w:val="00594D2C"/>
    <w:rsid w:val="00595444"/>
    <w:rsid w:val="00595A71"/>
    <w:rsid w:val="00596FAF"/>
    <w:rsid w:val="005A0C67"/>
    <w:rsid w:val="005B4B78"/>
    <w:rsid w:val="005C15C3"/>
    <w:rsid w:val="005C3892"/>
    <w:rsid w:val="005D5E73"/>
    <w:rsid w:val="005D69D1"/>
    <w:rsid w:val="005E2230"/>
    <w:rsid w:val="005E239C"/>
    <w:rsid w:val="005E4349"/>
    <w:rsid w:val="005F105D"/>
    <w:rsid w:val="00606AA2"/>
    <w:rsid w:val="00611BFA"/>
    <w:rsid w:val="0061329D"/>
    <w:rsid w:val="006148EA"/>
    <w:rsid w:val="00615068"/>
    <w:rsid w:val="006172F3"/>
    <w:rsid w:val="00621210"/>
    <w:rsid w:val="00623263"/>
    <w:rsid w:val="00627013"/>
    <w:rsid w:val="006276CE"/>
    <w:rsid w:val="00631FEF"/>
    <w:rsid w:val="00632C43"/>
    <w:rsid w:val="00645043"/>
    <w:rsid w:val="00653AEB"/>
    <w:rsid w:val="00655539"/>
    <w:rsid w:val="00655A66"/>
    <w:rsid w:val="006563CF"/>
    <w:rsid w:val="00656A70"/>
    <w:rsid w:val="00656C12"/>
    <w:rsid w:val="006607A5"/>
    <w:rsid w:val="00672692"/>
    <w:rsid w:val="006776FF"/>
    <w:rsid w:val="0068024C"/>
    <w:rsid w:val="00681242"/>
    <w:rsid w:val="00683D8E"/>
    <w:rsid w:val="00691702"/>
    <w:rsid w:val="006A1630"/>
    <w:rsid w:val="006A520A"/>
    <w:rsid w:val="006A5EBC"/>
    <w:rsid w:val="006B0DB4"/>
    <w:rsid w:val="006B1001"/>
    <w:rsid w:val="006B7142"/>
    <w:rsid w:val="006C5412"/>
    <w:rsid w:val="006C7E70"/>
    <w:rsid w:val="006D073A"/>
    <w:rsid w:val="006D1ABD"/>
    <w:rsid w:val="006D3B99"/>
    <w:rsid w:val="006D7F8E"/>
    <w:rsid w:val="006E17BF"/>
    <w:rsid w:val="006E52AE"/>
    <w:rsid w:val="006E784B"/>
    <w:rsid w:val="006F43EC"/>
    <w:rsid w:val="006F5D2D"/>
    <w:rsid w:val="006F6DA4"/>
    <w:rsid w:val="007103FE"/>
    <w:rsid w:val="007107BF"/>
    <w:rsid w:val="0071118F"/>
    <w:rsid w:val="007122AF"/>
    <w:rsid w:val="00713648"/>
    <w:rsid w:val="00715C33"/>
    <w:rsid w:val="0071743A"/>
    <w:rsid w:val="00720821"/>
    <w:rsid w:val="0072112A"/>
    <w:rsid w:val="00730087"/>
    <w:rsid w:val="007324F4"/>
    <w:rsid w:val="00735C61"/>
    <w:rsid w:val="00746518"/>
    <w:rsid w:val="00751BA3"/>
    <w:rsid w:val="00755CCD"/>
    <w:rsid w:val="00755FB8"/>
    <w:rsid w:val="00757739"/>
    <w:rsid w:val="00757A67"/>
    <w:rsid w:val="00761BAA"/>
    <w:rsid w:val="00762ADD"/>
    <w:rsid w:val="00766362"/>
    <w:rsid w:val="0076660E"/>
    <w:rsid w:val="007705A6"/>
    <w:rsid w:val="00771050"/>
    <w:rsid w:val="00773D06"/>
    <w:rsid w:val="00775609"/>
    <w:rsid w:val="00775B4F"/>
    <w:rsid w:val="00781176"/>
    <w:rsid w:val="0078792F"/>
    <w:rsid w:val="00792802"/>
    <w:rsid w:val="007A02A7"/>
    <w:rsid w:val="007A0BBC"/>
    <w:rsid w:val="007B235C"/>
    <w:rsid w:val="007B3C73"/>
    <w:rsid w:val="007B4CAC"/>
    <w:rsid w:val="007B5413"/>
    <w:rsid w:val="007B5B85"/>
    <w:rsid w:val="007C0E9C"/>
    <w:rsid w:val="007C4CA5"/>
    <w:rsid w:val="007C6263"/>
    <w:rsid w:val="007D11FF"/>
    <w:rsid w:val="007D14F5"/>
    <w:rsid w:val="007D2401"/>
    <w:rsid w:val="007D37D9"/>
    <w:rsid w:val="007D3AB4"/>
    <w:rsid w:val="007D6B96"/>
    <w:rsid w:val="007E26CE"/>
    <w:rsid w:val="007E28E6"/>
    <w:rsid w:val="007F1E97"/>
    <w:rsid w:val="00801E17"/>
    <w:rsid w:val="008035A6"/>
    <w:rsid w:val="00812C61"/>
    <w:rsid w:val="008213AB"/>
    <w:rsid w:val="008214E2"/>
    <w:rsid w:val="008243DB"/>
    <w:rsid w:val="00825D3A"/>
    <w:rsid w:val="008307D4"/>
    <w:rsid w:val="0083749E"/>
    <w:rsid w:val="00843CC0"/>
    <w:rsid w:val="00843DF3"/>
    <w:rsid w:val="00844903"/>
    <w:rsid w:val="00846CFB"/>
    <w:rsid w:val="00847568"/>
    <w:rsid w:val="00850143"/>
    <w:rsid w:val="008535BC"/>
    <w:rsid w:val="00862E61"/>
    <w:rsid w:val="00864F94"/>
    <w:rsid w:val="00865D23"/>
    <w:rsid w:val="00867B59"/>
    <w:rsid w:val="008702BF"/>
    <w:rsid w:val="008755EE"/>
    <w:rsid w:val="00876368"/>
    <w:rsid w:val="008909CA"/>
    <w:rsid w:val="0089104C"/>
    <w:rsid w:val="00892129"/>
    <w:rsid w:val="00893162"/>
    <w:rsid w:val="0089430A"/>
    <w:rsid w:val="008958BD"/>
    <w:rsid w:val="00896A3C"/>
    <w:rsid w:val="00896F6E"/>
    <w:rsid w:val="008A005D"/>
    <w:rsid w:val="008B0509"/>
    <w:rsid w:val="008B0920"/>
    <w:rsid w:val="008B1CDE"/>
    <w:rsid w:val="008C0452"/>
    <w:rsid w:val="008C133C"/>
    <w:rsid w:val="008C39A4"/>
    <w:rsid w:val="008C699B"/>
    <w:rsid w:val="008D01D3"/>
    <w:rsid w:val="008D1567"/>
    <w:rsid w:val="008D7706"/>
    <w:rsid w:val="008E5597"/>
    <w:rsid w:val="008F1886"/>
    <w:rsid w:val="00901BA3"/>
    <w:rsid w:val="009026F0"/>
    <w:rsid w:val="00906219"/>
    <w:rsid w:val="009152B1"/>
    <w:rsid w:val="00921C4A"/>
    <w:rsid w:val="0093225E"/>
    <w:rsid w:val="00933238"/>
    <w:rsid w:val="00934189"/>
    <w:rsid w:val="009423E9"/>
    <w:rsid w:val="009507F4"/>
    <w:rsid w:val="00952B45"/>
    <w:rsid w:val="00955C2B"/>
    <w:rsid w:val="00961520"/>
    <w:rsid w:val="00962377"/>
    <w:rsid w:val="009716A6"/>
    <w:rsid w:val="0097442E"/>
    <w:rsid w:val="00976E52"/>
    <w:rsid w:val="0097773B"/>
    <w:rsid w:val="0098087E"/>
    <w:rsid w:val="00981595"/>
    <w:rsid w:val="00981DA6"/>
    <w:rsid w:val="00981E89"/>
    <w:rsid w:val="00983DFA"/>
    <w:rsid w:val="00984737"/>
    <w:rsid w:val="00985220"/>
    <w:rsid w:val="00994E5A"/>
    <w:rsid w:val="00997C58"/>
    <w:rsid w:val="009A057A"/>
    <w:rsid w:val="009A418F"/>
    <w:rsid w:val="009A43F5"/>
    <w:rsid w:val="009A70AD"/>
    <w:rsid w:val="009B1EF5"/>
    <w:rsid w:val="009C14FE"/>
    <w:rsid w:val="009C2CC8"/>
    <w:rsid w:val="009C32F6"/>
    <w:rsid w:val="009C3F4C"/>
    <w:rsid w:val="009C4FFB"/>
    <w:rsid w:val="009D1B0D"/>
    <w:rsid w:val="009D465D"/>
    <w:rsid w:val="009D7B65"/>
    <w:rsid w:val="009E0039"/>
    <w:rsid w:val="009E3AF6"/>
    <w:rsid w:val="009E3D71"/>
    <w:rsid w:val="00A0008A"/>
    <w:rsid w:val="00A01E2D"/>
    <w:rsid w:val="00A026A8"/>
    <w:rsid w:val="00A03EBC"/>
    <w:rsid w:val="00A063B8"/>
    <w:rsid w:val="00A07AF5"/>
    <w:rsid w:val="00A124AA"/>
    <w:rsid w:val="00A12B1F"/>
    <w:rsid w:val="00A12E53"/>
    <w:rsid w:val="00A16C27"/>
    <w:rsid w:val="00A171A2"/>
    <w:rsid w:val="00A20F49"/>
    <w:rsid w:val="00A247B5"/>
    <w:rsid w:val="00A24F0C"/>
    <w:rsid w:val="00A26705"/>
    <w:rsid w:val="00A33354"/>
    <w:rsid w:val="00A3407E"/>
    <w:rsid w:val="00A44090"/>
    <w:rsid w:val="00A516B1"/>
    <w:rsid w:val="00A61BB2"/>
    <w:rsid w:val="00A6453F"/>
    <w:rsid w:val="00A64942"/>
    <w:rsid w:val="00A660D5"/>
    <w:rsid w:val="00A66B1A"/>
    <w:rsid w:val="00A71988"/>
    <w:rsid w:val="00A74C11"/>
    <w:rsid w:val="00A75EA2"/>
    <w:rsid w:val="00A76119"/>
    <w:rsid w:val="00A8186A"/>
    <w:rsid w:val="00A852C8"/>
    <w:rsid w:val="00A91715"/>
    <w:rsid w:val="00A91CFF"/>
    <w:rsid w:val="00A96C08"/>
    <w:rsid w:val="00AA09C0"/>
    <w:rsid w:val="00AA3B6E"/>
    <w:rsid w:val="00AA641B"/>
    <w:rsid w:val="00AB1D01"/>
    <w:rsid w:val="00AB371F"/>
    <w:rsid w:val="00AB43A2"/>
    <w:rsid w:val="00AB5D7F"/>
    <w:rsid w:val="00AB6BAE"/>
    <w:rsid w:val="00AC1211"/>
    <w:rsid w:val="00AC2957"/>
    <w:rsid w:val="00AC2EAC"/>
    <w:rsid w:val="00AC391E"/>
    <w:rsid w:val="00AC5BA3"/>
    <w:rsid w:val="00AD0753"/>
    <w:rsid w:val="00AD17F4"/>
    <w:rsid w:val="00AD4BF6"/>
    <w:rsid w:val="00AD5262"/>
    <w:rsid w:val="00AD5DA7"/>
    <w:rsid w:val="00AD739D"/>
    <w:rsid w:val="00AE0E1A"/>
    <w:rsid w:val="00AE2632"/>
    <w:rsid w:val="00AE3360"/>
    <w:rsid w:val="00AE43F2"/>
    <w:rsid w:val="00AF16D8"/>
    <w:rsid w:val="00AF3D2D"/>
    <w:rsid w:val="00AF4C86"/>
    <w:rsid w:val="00AF599C"/>
    <w:rsid w:val="00B01E42"/>
    <w:rsid w:val="00B023AD"/>
    <w:rsid w:val="00B0362D"/>
    <w:rsid w:val="00B04CEE"/>
    <w:rsid w:val="00B20ACF"/>
    <w:rsid w:val="00B2169A"/>
    <w:rsid w:val="00B24013"/>
    <w:rsid w:val="00B25F06"/>
    <w:rsid w:val="00B269FD"/>
    <w:rsid w:val="00B2783B"/>
    <w:rsid w:val="00B3040B"/>
    <w:rsid w:val="00B344D5"/>
    <w:rsid w:val="00B362D4"/>
    <w:rsid w:val="00B37480"/>
    <w:rsid w:val="00B40006"/>
    <w:rsid w:val="00B45B87"/>
    <w:rsid w:val="00B51128"/>
    <w:rsid w:val="00B54774"/>
    <w:rsid w:val="00B54ED7"/>
    <w:rsid w:val="00B5504B"/>
    <w:rsid w:val="00B5704B"/>
    <w:rsid w:val="00B60A67"/>
    <w:rsid w:val="00B71A76"/>
    <w:rsid w:val="00B8083E"/>
    <w:rsid w:val="00B80AFD"/>
    <w:rsid w:val="00B8319C"/>
    <w:rsid w:val="00B84755"/>
    <w:rsid w:val="00B87717"/>
    <w:rsid w:val="00B90152"/>
    <w:rsid w:val="00BA46AF"/>
    <w:rsid w:val="00BA7C5B"/>
    <w:rsid w:val="00BB166C"/>
    <w:rsid w:val="00BB177E"/>
    <w:rsid w:val="00BB1AFA"/>
    <w:rsid w:val="00BB5F56"/>
    <w:rsid w:val="00BC28FB"/>
    <w:rsid w:val="00BC4EEC"/>
    <w:rsid w:val="00BD29A7"/>
    <w:rsid w:val="00BD2CBA"/>
    <w:rsid w:val="00BD3B61"/>
    <w:rsid w:val="00BD3BA7"/>
    <w:rsid w:val="00BD3F23"/>
    <w:rsid w:val="00BE2F12"/>
    <w:rsid w:val="00BE5F7F"/>
    <w:rsid w:val="00BE6321"/>
    <w:rsid w:val="00BF67C5"/>
    <w:rsid w:val="00C0390F"/>
    <w:rsid w:val="00C05CE2"/>
    <w:rsid w:val="00C1184A"/>
    <w:rsid w:val="00C11F8C"/>
    <w:rsid w:val="00C150E1"/>
    <w:rsid w:val="00C16A7B"/>
    <w:rsid w:val="00C174AE"/>
    <w:rsid w:val="00C17F15"/>
    <w:rsid w:val="00C24FFF"/>
    <w:rsid w:val="00C25019"/>
    <w:rsid w:val="00C32965"/>
    <w:rsid w:val="00C33715"/>
    <w:rsid w:val="00C37DD9"/>
    <w:rsid w:val="00C40833"/>
    <w:rsid w:val="00C43B1E"/>
    <w:rsid w:val="00C50B6C"/>
    <w:rsid w:val="00C56A16"/>
    <w:rsid w:val="00C61A00"/>
    <w:rsid w:val="00C63380"/>
    <w:rsid w:val="00C650AF"/>
    <w:rsid w:val="00C65BC2"/>
    <w:rsid w:val="00C70C1D"/>
    <w:rsid w:val="00C73753"/>
    <w:rsid w:val="00C755D1"/>
    <w:rsid w:val="00C7631D"/>
    <w:rsid w:val="00C80231"/>
    <w:rsid w:val="00C805BB"/>
    <w:rsid w:val="00C82771"/>
    <w:rsid w:val="00C94778"/>
    <w:rsid w:val="00CA4410"/>
    <w:rsid w:val="00CB5B33"/>
    <w:rsid w:val="00CB5B49"/>
    <w:rsid w:val="00CB7A8B"/>
    <w:rsid w:val="00CC66B8"/>
    <w:rsid w:val="00CC7849"/>
    <w:rsid w:val="00CC7A02"/>
    <w:rsid w:val="00CD38B0"/>
    <w:rsid w:val="00CD5713"/>
    <w:rsid w:val="00CD5E90"/>
    <w:rsid w:val="00CD6D48"/>
    <w:rsid w:val="00CE04AE"/>
    <w:rsid w:val="00CE2DA5"/>
    <w:rsid w:val="00CE31DB"/>
    <w:rsid w:val="00CE4C78"/>
    <w:rsid w:val="00CE4D7F"/>
    <w:rsid w:val="00CE6E3C"/>
    <w:rsid w:val="00CF09BB"/>
    <w:rsid w:val="00CF546C"/>
    <w:rsid w:val="00D01AEB"/>
    <w:rsid w:val="00D07D96"/>
    <w:rsid w:val="00D109E6"/>
    <w:rsid w:val="00D209C3"/>
    <w:rsid w:val="00D326A6"/>
    <w:rsid w:val="00D35EAD"/>
    <w:rsid w:val="00D36B7C"/>
    <w:rsid w:val="00D42C0F"/>
    <w:rsid w:val="00D43A22"/>
    <w:rsid w:val="00D45C27"/>
    <w:rsid w:val="00D45DF5"/>
    <w:rsid w:val="00D46C4C"/>
    <w:rsid w:val="00D50724"/>
    <w:rsid w:val="00D513ED"/>
    <w:rsid w:val="00D529FB"/>
    <w:rsid w:val="00D56518"/>
    <w:rsid w:val="00D56757"/>
    <w:rsid w:val="00D6258C"/>
    <w:rsid w:val="00D67ED5"/>
    <w:rsid w:val="00D7169B"/>
    <w:rsid w:val="00D734FD"/>
    <w:rsid w:val="00D757BD"/>
    <w:rsid w:val="00D80FA1"/>
    <w:rsid w:val="00D82792"/>
    <w:rsid w:val="00D82882"/>
    <w:rsid w:val="00D84DD6"/>
    <w:rsid w:val="00D8699E"/>
    <w:rsid w:val="00D907E4"/>
    <w:rsid w:val="00D919BD"/>
    <w:rsid w:val="00D91EB5"/>
    <w:rsid w:val="00D91ED2"/>
    <w:rsid w:val="00D9350B"/>
    <w:rsid w:val="00D9726A"/>
    <w:rsid w:val="00DA1386"/>
    <w:rsid w:val="00DA2C91"/>
    <w:rsid w:val="00DA3E75"/>
    <w:rsid w:val="00DA55B8"/>
    <w:rsid w:val="00DA688A"/>
    <w:rsid w:val="00DB36DA"/>
    <w:rsid w:val="00DB7B4A"/>
    <w:rsid w:val="00DB7F92"/>
    <w:rsid w:val="00DC2C41"/>
    <w:rsid w:val="00DC2D3C"/>
    <w:rsid w:val="00DC787D"/>
    <w:rsid w:val="00DD2446"/>
    <w:rsid w:val="00DD6F5A"/>
    <w:rsid w:val="00DD6FB2"/>
    <w:rsid w:val="00DE4149"/>
    <w:rsid w:val="00DE5C2D"/>
    <w:rsid w:val="00DE7BB4"/>
    <w:rsid w:val="00DF773D"/>
    <w:rsid w:val="00E002D4"/>
    <w:rsid w:val="00E00820"/>
    <w:rsid w:val="00E062E6"/>
    <w:rsid w:val="00E065EA"/>
    <w:rsid w:val="00E1133F"/>
    <w:rsid w:val="00E136BD"/>
    <w:rsid w:val="00E1433C"/>
    <w:rsid w:val="00E316EF"/>
    <w:rsid w:val="00E41DCD"/>
    <w:rsid w:val="00E50C79"/>
    <w:rsid w:val="00E50E17"/>
    <w:rsid w:val="00E553A1"/>
    <w:rsid w:val="00E57457"/>
    <w:rsid w:val="00E62829"/>
    <w:rsid w:val="00E62C50"/>
    <w:rsid w:val="00E6790A"/>
    <w:rsid w:val="00E76827"/>
    <w:rsid w:val="00E77056"/>
    <w:rsid w:val="00E821A6"/>
    <w:rsid w:val="00E83244"/>
    <w:rsid w:val="00E8447C"/>
    <w:rsid w:val="00E8468A"/>
    <w:rsid w:val="00E86D1A"/>
    <w:rsid w:val="00E953BD"/>
    <w:rsid w:val="00EA0E83"/>
    <w:rsid w:val="00EA20A7"/>
    <w:rsid w:val="00EB3B95"/>
    <w:rsid w:val="00EB5CD0"/>
    <w:rsid w:val="00EB6863"/>
    <w:rsid w:val="00EB7D1E"/>
    <w:rsid w:val="00EC2C43"/>
    <w:rsid w:val="00EC7F67"/>
    <w:rsid w:val="00ED39F4"/>
    <w:rsid w:val="00EE0554"/>
    <w:rsid w:val="00EE53EB"/>
    <w:rsid w:val="00EF1C8E"/>
    <w:rsid w:val="00EF4748"/>
    <w:rsid w:val="00F02992"/>
    <w:rsid w:val="00F05F54"/>
    <w:rsid w:val="00F07FE5"/>
    <w:rsid w:val="00F23BC0"/>
    <w:rsid w:val="00F25811"/>
    <w:rsid w:val="00F26074"/>
    <w:rsid w:val="00F271FD"/>
    <w:rsid w:val="00F42C67"/>
    <w:rsid w:val="00F44BE8"/>
    <w:rsid w:val="00F4520D"/>
    <w:rsid w:val="00F470C4"/>
    <w:rsid w:val="00F507B3"/>
    <w:rsid w:val="00F54A23"/>
    <w:rsid w:val="00F57D20"/>
    <w:rsid w:val="00F60183"/>
    <w:rsid w:val="00F712F2"/>
    <w:rsid w:val="00F73BFF"/>
    <w:rsid w:val="00F740A3"/>
    <w:rsid w:val="00F75C91"/>
    <w:rsid w:val="00F83D40"/>
    <w:rsid w:val="00F9089E"/>
    <w:rsid w:val="00F9499E"/>
    <w:rsid w:val="00F94E97"/>
    <w:rsid w:val="00F962E4"/>
    <w:rsid w:val="00FA6F06"/>
    <w:rsid w:val="00FA752E"/>
    <w:rsid w:val="00FB2C0E"/>
    <w:rsid w:val="00FB4A56"/>
    <w:rsid w:val="00FB6A87"/>
    <w:rsid w:val="00FB7283"/>
    <w:rsid w:val="00FC1077"/>
    <w:rsid w:val="00FC56DA"/>
    <w:rsid w:val="00FD46C8"/>
    <w:rsid w:val="00FE3F71"/>
    <w:rsid w:val="00FE4D84"/>
    <w:rsid w:val="00FE58A4"/>
    <w:rsid w:val="00FE69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340A3D"/>
    <w:rPr>
      <w:rFonts w:ascii="Tahoma" w:eastAsia="Tahoma" w:hAnsi="Tahoma" w:cs="Tahoma"/>
    </w:rPr>
  </w:style>
  <w:style w:type="paragraph" w:styleId="1">
    <w:name w:val="heading 1"/>
    <w:basedOn w:val="a0"/>
    <w:uiPriority w:val="1"/>
    <w:qFormat/>
    <w:rsid w:val="0021402D"/>
    <w:pPr>
      <w:ind w:left="102"/>
      <w:outlineLvl w:val="0"/>
    </w:pPr>
    <w:rPr>
      <w:b/>
      <w:bCs/>
      <w:sz w:val="20"/>
      <w:szCs w:val="20"/>
    </w:rPr>
  </w:style>
  <w:style w:type="paragraph" w:styleId="2">
    <w:name w:val="heading 2"/>
    <w:basedOn w:val="a0"/>
    <w:next w:val="a0"/>
    <w:link w:val="2Char"/>
    <w:uiPriority w:val="9"/>
    <w:semiHidden/>
    <w:unhideWhenUsed/>
    <w:qFormat/>
    <w:rsid w:val="00D109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semiHidden/>
    <w:unhideWhenUsed/>
    <w:qFormat/>
    <w:rsid w:val="007A0BB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7A0BB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unhideWhenUsed/>
    <w:qFormat/>
    <w:rsid w:val="007A0BB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7A0BB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21402D"/>
    <w:tblPr>
      <w:tblInd w:w="0" w:type="dxa"/>
      <w:tblCellMar>
        <w:top w:w="0" w:type="dxa"/>
        <w:left w:w="0" w:type="dxa"/>
        <w:bottom w:w="0" w:type="dxa"/>
        <w:right w:w="0" w:type="dxa"/>
      </w:tblCellMar>
    </w:tblPr>
  </w:style>
  <w:style w:type="paragraph" w:styleId="a4">
    <w:name w:val="Body Text"/>
    <w:basedOn w:val="a0"/>
    <w:link w:val="Char"/>
    <w:uiPriority w:val="1"/>
    <w:qFormat/>
    <w:rsid w:val="0021402D"/>
    <w:rPr>
      <w:sz w:val="20"/>
      <w:szCs w:val="20"/>
    </w:rPr>
  </w:style>
  <w:style w:type="paragraph" w:styleId="a5">
    <w:name w:val="List Paragraph"/>
    <w:basedOn w:val="a0"/>
    <w:uiPriority w:val="34"/>
    <w:qFormat/>
    <w:rsid w:val="0021402D"/>
    <w:pPr>
      <w:ind w:left="102" w:hanging="873"/>
    </w:pPr>
  </w:style>
  <w:style w:type="paragraph" w:customStyle="1" w:styleId="TableParagraph">
    <w:name w:val="Table Paragraph"/>
    <w:basedOn w:val="a0"/>
    <w:uiPriority w:val="1"/>
    <w:qFormat/>
    <w:rsid w:val="0021402D"/>
    <w:pPr>
      <w:ind w:left="200"/>
    </w:pPr>
  </w:style>
  <w:style w:type="paragraph" w:styleId="a6">
    <w:name w:val="Balloon Text"/>
    <w:basedOn w:val="a0"/>
    <w:link w:val="Char0"/>
    <w:uiPriority w:val="99"/>
    <w:semiHidden/>
    <w:unhideWhenUsed/>
    <w:rsid w:val="009716A6"/>
    <w:rPr>
      <w:sz w:val="16"/>
      <w:szCs w:val="16"/>
    </w:rPr>
  </w:style>
  <w:style w:type="character" w:customStyle="1" w:styleId="Char0">
    <w:name w:val="Κείμενο πλαισίου Char"/>
    <w:basedOn w:val="a1"/>
    <w:link w:val="a6"/>
    <w:uiPriority w:val="99"/>
    <w:semiHidden/>
    <w:rsid w:val="009716A6"/>
    <w:rPr>
      <w:rFonts w:ascii="Tahoma" w:eastAsia="Tahoma" w:hAnsi="Tahoma" w:cs="Tahoma"/>
      <w:sz w:val="16"/>
      <w:szCs w:val="16"/>
    </w:rPr>
  </w:style>
  <w:style w:type="paragraph" w:styleId="a7">
    <w:name w:val="footer"/>
    <w:basedOn w:val="a0"/>
    <w:link w:val="Char1"/>
    <w:uiPriority w:val="99"/>
    <w:rsid w:val="00FB7283"/>
    <w:pPr>
      <w:widowControl/>
      <w:suppressAutoHyphens/>
      <w:autoSpaceDE/>
      <w:autoSpaceDN/>
    </w:pPr>
    <w:rPr>
      <w:rFonts w:ascii="Arial" w:eastAsia="Times New Roman" w:hAnsi="Arial" w:cs="Arial"/>
      <w:szCs w:val="24"/>
      <w:lang w:val="el-GR" w:eastAsia="zh-CN"/>
    </w:rPr>
  </w:style>
  <w:style w:type="character" w:customStyle="1" w:styleId="Char1">
    <w:name w:val="Υποσέλιδο Char"/>
    <w:basedOn w:val="a1"/>
    <w:link w:val="a7"/>
    <w:uiPriority w:val="99"/>
    <w:rsid w:val="00FB7283"/>
    <w:rPr>
      <w:rFonts w:ascii="Arial" w:eastAsia="Times New Roman" w:hAnsi="Arial" w:cs="Arial"/>
      <w:szCs w:val="24"/>
      <w:lang w:val="el-GR" w:eastAsia="zh-CN"/>
    </w:rPr>
  </w:style>
  <w:style w:type="character" w:customStyle="1" w:styleId="Char">
    <w:name w:val="Σώμα κειμένου Char"/>
    <w:basedOn w:val="a1"/>
    <w:link w:val="a4"/>
    <w:uiPriority w:val="1"/>
    <w:rsid w:val="002256AC"/>
    <w:rPr>
      <w:rFonts w:ascii="Tahoma" w:eastAsia="Tahoma" w:hAnsi="Tahoma" w:cs="Tahoma"/>
      <w:sz w:val="20"/>
      <w:szCs w:val="20"/>
    </w:rPr>
  </w:style>
  <w:style w:type="paragraph" w:styleId="a">
    <w:name w:val="List Bullet"/>
    <w:basedOn w:val="a0"/>
    <w:link w:val="Char2"/>
    <w:rsid w:val="003A5BCB"/>
    <w:pPr>
      <w:widowControl/>
      <w:numPr>
        <w:numId w:val="4"/>
      </w:numPr>
      <w:autoSpaceDE/>
      <w:autoSpaceDN/>
      <w:spacing w:after="120" w:line="288" w:lineRule="auto"/>
      <w:jc w:val="both"/>
    </w:pPr>
    <w:rPr>
      <w:rFonts w:ascii="Arial" w:eastAsia="Times New Roman" w:hAnsi="Arial" w:cs="Arial"/>
      <w:lang w:val="el-GR"/>
    </w:rPr>
  </w:style>
  <w:style w:type="character" w:customStyle="1" w:styleId="Char2">
    <w:name w:val="Λίστα με κουκκίδες Char"/>
    <w:link w:val="a"/>
    <w:rsid w:val="003A5BCB"/>
    <w:rPr>
      <w:rFonts w:ascii="Arial" w:eastAsia="Times New Roman" w:hAnsi="Arial" w:cs="Arial"/>
      <w:lang w:val="el-GR"/>
    </w:rPr>
  </w:style>
  <w:style w:type="paragraph" w:styleId="a8">
    <w:name w:val="List"/>
    <w:basedOn w:val="a0"/>
    <w:rsid w:val="003A5BCB"/>
    <w:pPr>
      <w:widowControl/>
      <w:autoSpaceDE/>
      <w:autoSpaceDN/>
      <w:spacing w:after="120" w:line="288" w:lineRule="auto"/>
      <w:ind w:left="283" w:hanging="283"/>
      <w:jc w:val="both"/>
    </w:pPr>
    <w:rPr>
      <w:rFonts w:ascii="Arial" w:eastAsia="Times New Roman" w:hAnsi="Arial" w:cs="Times New Roman"/>
      <w:szCs w:val="24"/>
      <w:lang w:val="el-GR" w:eastAsia="el-GR"/>
    </w:rPr>
  </w:style>
  <w:style w:type="character" w:styleId="a9">
    <w:name w:val="annotation reference"/>
    <w:basedOn w:val="a1"/>
    <w:uiPriority w:val="99"/>
    <w:semiHidden/>
    <w:unhideWhenUsed/>
    <w:rsid w:val="00C70C1D"/>
    <w:rPr>
      <w:sz w:val="16"/>
      <w:szCs w:val="16"/>
    </w:rPr>
  </w:style>
  <w:style w:type="paragraph" w:styleId="aa">
    <w:name w:val="annotation text"/>
    <w:basedOn w:val="a0"/>
    <w:link w:val="Char3"/>
    <w:uiPriority w:val="99"/>
    <w:semiHidden/>
    <w:unhideWhenUsed/>
    <w:rsid w:val="00C70C1D"/>
    <w:rPr>
      <w:sz w:val="20"/>
      <w:szCs w:val="20"/>
    </w:rPr>
  </w:style>
  <w:style w:type="character" w:customStyle="1" w:styleId="Char3">
    <w:name w:val="Κείμενο σχολίου Char"/>
    <w:basedOn w:val="a1"/>
    <w:link w:val="aa"/>
    <w:uiPriority w:val="99"/>
    <w:semiHidden/>
    <w:rsid w:val="00C70C1D"/>
    <w:rPr>
      <w:rFonts w:ascii="Tahoma" w:eastAsia="Tahoma" w:hAnsi="Tahoma" w:cs="Tahoma"/>
      <w:sz w:val="20"/>
      <w:szCs w:val="20"/>
    </w:rPr>
  </w:style>
  <w:style w:type="paragraph" w:styleId="ab">
    <w:name w:val="annotation subject"/>
    <w:basedOn w:val="aa"/>
    <w:next w:val="aa"/>
    <w:link w:val="Char4"/>
    <w:uiPriority w:val="99"/>
    <w:semiHidden/>
    <w:unhideWhenUsed/>
    <w:rsid w:val="00C70C1D"/>
    <w:rPr>
      <w:b/>
      <w:bCs/>
    </w:rPr>
  </w:style>
  <w:style w:type="character" w:customStyle="1" w:styleId="Char4">
    <w:name w:val="Θέμα σχολίου Char"/>
    <w:basedOn w:val="Char3"/>
    <w:link w:val="ab"/>
    <w:uiPriority w:val="99"/>
    <w:semiHidden/>
    <w:rsid w:val="00C70C1D"/>
    <w:rPr>
      <w:rFonts w:ascii="Tahoma" w:eastAsia="Tahoma" w:hAnsi="Tahoma" w:cs="Tahoma"/>
      <w:b/>
      <w:bCs/>
      <w:sz w:val="20"/>
      <w:szCs w:val="20"/>
    </w:rPr>
  </w:style>
  <w:style w:type="character" w:customStyle="1" w:styleId="3Char">
    <w:name w:val="Επικεφαλίδα 3 Char"/>
    <w:basedOn w:val="a1"/>
    <w:link w:val="3"/>
    <w:uiPriority w:val="9"/>
    <w:semiHidden/>
    <w:rsid w:val="007A0BBC"/>
    <w:rPr>
      <w:rFonts w:asciiTheme="majorHAnsi" w:eastAsiaTheme="majorEastAsia" w:hAnsiTheme="majorHAnsi" w:cstheme="majorBidi"/>
      <w:b/>
      <w:bCs/>
      <w:color w:val="4F81BD" w:themeColor="accent1"/>
    </w:rPr>
  </w:style>
  <w:style w:type="character" w:customStyle="1" w:styleId="4Char">
    <w:name w:val="Επικεφαλίδα 4 Char"/>
    <w:basedOn w:val="a1"/>
    <w:link w:val="4"/>
    <w:uiPriority w:val="9"/>
    <w:semiHidden/>
    <w:rsid w:val="007A0BBC"/>
    <w:rPr>
      <w:rFonts w:asciiTheme="majorHAnsi" w:eastAsiaTheme="majorEastAsia" w:hAnsiTheme="majorHAnsi" w:cstheme="majorBidi"/>
      <w:b/>
      <w:bCs/>
      <w:i/>
      <w:iCs/>
      <w:color w:val="4F81BD" w:themeColor="accent1"/>
    </w:rPr>
  </w:style>
  <w:style w:type="character" w:customStyle="1" w:styleId="5Char">
    <w:name w:val="Επικεφαλίδα 5 Char"/>
    <w:basedOn w:val="a1"/>
    <w:link w:val="5"/>
    <w:uiPriority w:val="9"/>
    <w:rsid w:val="007A0BBC"/>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semiHidden/>
    <w:rsid w:val="007A0BBC"/>
    <w:rPr>
      <w:rFonts w:asciiTheme="majorHAnsi" w:eastAsiaTheme="majorEastAsia" w:hAnsiTheme="majorHAnsi" w:cstheme="majorBidi"/>
      <w:i/>
      <w:iCs/>
      <w:color w:val="243F60" w:themeColor="accent1" w:themeShade="7F"/>
    </w:rPr>
  </w:style>
  <w:style w:type="character" w:customStyle="1" w:styleId="2Char">
    <w:name w:val="Επικεφαλίδα 2 Char"/>
    <w:basedOn w:val="a1"/>
    <w:link w:val="2"/>
    <w:uiPriority w:val="99"/>
    <w:rsid w:val="00D109E6"/>
    <w:rPr>
      <w:rFonts w:asciiTheme="majorHAnsi" w:eastAsiaTheme="majorEastAsia" w:hAnsiTheme="majorHAnsi" w:cstheme="majorBidi"/>
      <w:b/>
      <w:bCs/>
      <w:color w:val="4F81BD" w:themeColor="accent1"/>
      <w:sz w:val="26"/>
      <w:szCs w:val="26"/>
    </w:rPr>
  </w:style>
  <w:style w:type="paragraph" w:styleId="ac">
    <w:name w:val="header"/>
    <w:basedOn w:val="a0"/>
    <w:link w:val="Char5"/>
    <w:uiPriority w:val="99"/>
    <w:unhideWhenUsed/>
    <w:rsid w:val="00761BAA"/>
    <w:pPr>
      <w:tabs>
        <w:tab w:val="center" w:pos="4153"/>
        <w:tab w:val="right" w:pos="8306"/>
      </w:tabs>
    </w:pPr>
  </w:style>
  <w:style w:type="character" w:customStyle="1" w:styleId="Char5">
    <w:name w:val="Κεφαλίδα Char"/>
    <w:basedOn w:val="a1"/>
    <w:link w:val="ac"/>
    <w:uiPriority w:val="99"/>
    <w:rsid w:val="00761BAA"/>
    <w:rPr>
      <w:rFonts w:ascii="Tahoma" w:eastAsia="Tahoma" w:hAnsi="Tahoma" w:cs="Tahoma"/>
    </w:rPr>
  </w:style>
  <w:style w:type="paragraph" w:customStyle="1" w:styleId="CM1">
    <w:name w:val="CM1"/>
    <w:basedOn w:val="a0"/>
    <w:next w:val="a0"/>
    <w:uiPriority w:val="99"/>
    <w:rsid w:val="00B023AD"/>
    <w:pPr>
      <w:widowControl/>
      <w:adjustRightInd w:val="0"/>
    </w:pPr>
    <w:rPr>
      <w:rFonts w:ascii="EUAlbertina" w:eastAsiaTheme="minorHAnsi" w:hAnsi="EUAlbertina" w:cstheme="minorBidi"/>
      <w:sz w:val="24"/>
      <w:szCs w:val="24"/>
      <w:lang w:val="el-GR"/>
    </w:rPr>
  </w:style>
  <w:style w:type="paragraph" w:customStyle="1" w:styleId="CM3">
    <w:name w:val="CM3"/>
    <w:basedOn w:val="a0"/>
    <w:next w:val="a0"/>
    <w:uiPriority w:val="99"/>
    <w:rsid w:val="00B023AD"/>
    <w:pPr>
      <w:widowControl/>
      <w:adjustRightInd w:val="0"/>
    </w:pPr>
    <w:rPr>
      <w:rFonts w:ascii="EUAlbertina" w:eastAsiaTheme="minorHAnsi" w:hAnsi="EUAlbertina" w:cstheme="minorBidi"/>
      <w:sz w:val="24"/>
      <w:szCs w:val="24"/>
      <w:lang w:val="el-GR"/>
    </w:rPr>
  </w:style>
  <w:style w:type="table" w:styleId="ad">
    <w:name w:val="Table Grid"/>
    <w:basedOn w:val="a2"/>
    <w:uiPriority w:val="59"/>
    <w:rsid w:val="000A5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0"/>
    <w:uiPriority w:val="99"/>
    <w:semiHidden/>
    <w:unhideWhenUsed/>
    <w:rsid w:val="00CB5B49"/>
    <w:pPr>
      <w:ind w:left="566" w:hanging="283"/>
      <w:contextualSpacing/>
    </w:pPr>
  </w:style>
  <w:style w:type="paragraph" w:styleId="30">
    <w:name w:val="List 3"/>
    <w:basedOn w:val="a0"/>
    <w:uiPriority w:val="99"/>
    <w:semiHidden/>
    <w:unhideWhenUsed/>
    <w:rsid w:val="00CB5B49"/>
    <w:pPr>
      <w:ind w:left="849" w:hanging="283"/>
      <w:contextualSpacing/>
    </w:pPr>
  </w:style>
  <w:style w:type="paragraph" w:styleId="ae">
    <w:name w:val="List Continue"/>
    <w:basedOn w:val="a0"/>
    <w:uiPriority w:val="99"/>
    <w:semiHidden/>
    <w:unhideWhenUsed/>
    <w:rsid w:val="00CB5B49"/>
    <w:pPr>
      <w:spacing w:after="120"/>
      <w:ind w:left="283"/>
      <w:contextualSpacing/>
    </w:pPr>
  </w:style>
  <w:style w:type="paragraph" w:customStyle="1" w:styleId="10">
    <w:name w:val="Παράγραφος λίστας1"/>
    <w:basedOn w:val="a0"/>
    <w:rsid w:val="00E1133F"/>
    <w:pPr>
      <w:ind w:left="102" w:hanging="873"/>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340A3D"/>
    <w:rPr>
      <w:rFonts w:ascii="Tahoma" w:eastAsia="Tahoma" w:hAnsi="Tahoma" w:cs="Tahoma"/>
    </w:rPr>
  </w:style>
  <w:style w:type="paragraph" w:styleId="1">
    <w:name w:val="heading 1"/>
    <w:basedOn w:val="a0"/>
    <w:uiPriority w:val="1"/>
    <w:qFormat/>
    <w:pPr>
      <w:ind w:left="102"/>
      <w:outlineLvl w:val="0"/>
    </w:pPr>
    <w:rPr>
      <w:b/>
      <w:bCs/>
      <w:sz w:val="20"/>
      <w:szCs w:val="20"/>
    </w:rPr>
  </w:style>
  <w:style w:type="paragraph" w:styleId="2">
    <w:name w:val="heading 2"/>
    <w:basedOn w:val="a0"/>
    <w:next w:val="a0"/>
    <w:link w:val="2Char"/>
    <w:uiPriority w:val="9"/>
    <w:semiHidden/>
    <w:unhideWhenUsed/>
    <w:qFormat/>
    <w:rsid w:val="00D109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semiHidden/>
    <w:unhideWhenUsed/>
    <w:qFormat/>
    <w:rsid w:val="007A0BB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7A0BB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unhideWhenUsed/>
    <w:qFormat/>
    <w:rsid w:val="007A0BB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7A0BB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Char"/>
    <w:uiPriority w:val="1"/>
    <w:qFormat/>
    <w:rPr>
      <w:sz w:val="20"/>
      <w:szCs w:val="20"/>
    </w:rPr>
  </w:style>
  <w:style w:type="paragraph" w:styleId="a5">
    <w:name w:val="List Paragraph"/>
    <w:basedOn w:val="a0"/>
    <w:uiPriority w:val="34"/>
    <w:qFormat/>
    <w:pPr>
      <w:ind w:left="102" w:hanging="873"/>
    </w:pPr>
  </w:style>
  <w:style w:type="paragraph" w:customStyle="1" w:styleId="TableParagraph">
    <w:name w:val="Table Paragraph"/>
    <w:basedOn w:val="a0"/>
    <w:uiPriority w:val="1"/>
    <w:qFormat/>
    <w:pPr>
      <w:ind w:left="200"/>
    </w:pPr>
  </w:style>
  <w:style w:type="paragraph" w:styleId="a6">
    <w:name w:val="Balloon Text"/>
    <w:basedOn w:val="a0"/>
    <w:link w:val="Char0"/>
    <w:uiPriority w:val="99"/>
    <w:semiHidden/>
    <w:unhideWhenUsed/>
    <w:rsid w:val="009716A6"/>
    <w:rPr>
      <w:sz w:val="16"/>
      <w:szCs w:val="16"/>
    </w:rPr>
  </w:style>
  <w:style w:type="character" w:customStyle="1" w:styleId="Char0">
    <w:name w:val="Κείμενο πλαισίου Char"/>
    <w:basedOn w:val="a1"/>
    <w:link w:val="a6"/>
    <w:uiPriority w:val="99"/>
    <w:semiHidden/>
    <w:rsid w:val="009716A6"/>
    <w:rPr>
      <w:rFonts w:ascii="Tahoma" w:eastAsia="Tahoma" w:hAnsi="Tahoma" w:cs="Tahoma"/>
      <w:sz w:val="16"/>
      <w:szCs w:val="16"/>
    </w:rPr>
  </w:style>
  <w:style w:type="paragraph" w:styleId="a7">
    <w:name w:val="footer"/>
    <w:basedOn w:val="a0"/>
    <w:link w:val="Char1"/>
    <w:uiPriority w:val="99"/>
    <w:rsid w:val="00FB7283"/>
    <w:pPr>
      <w:widowControl/>
      <w:suppressAutoHyphens/>
      <w:autoSpaceDE/>
      <w:autoSpaceDN/>
    </w:pPr>
    <w:rPr>
      <w:rFonts w:ascii="Arial" w:eastAsia="Times New Roman" w:hAnsi="Arial" w:cs="Arial"/>
      <w:szCs w:val="24"/>
      <w:lang w:val="el-GR" w:eastAsia="zh-CN"/>
    </w:rPr>
  </w:style>
  <w:style w:type="character" w:customStyle="1" w:styleId="Char1">
    <w:name w:val="Υποσέλιδο Char"/>
    <w:basedOn w:val="a1"/>
    <w:link w:val="a7"/>
    <w:uiPriority w:val="99"/>
    <w:rsid w:val="00FB7283"/>
    <w:rPr>
      <w:rFonts w:ascii="Arial" w:eastAsia="Times New Roman" w:hAnsi="Arial" w:cs="Arial"/>
      <w:szCs w:val="24"/>
      <w:lang w:val="el-GR" w:eastAsia="zh-CN"/>
    </w:rPr>
  </w:style>
  <w:style w:type="character" w:customStyle="1" w:styleId="Char">
    <w:name w:val="Σώμα κειμένου Char"/>
    <w:basedOn w:val="a1"/>
    <w:link w:val="a4"/>
    <w:uiPriority w:val="1"/>
    <w:rsid w:val="002256AC"/>
    <w:rPr>
      <w:rFonts w:ascii="Tahoma" w:eastAsia="Tahoma" w:hAnsi="Tahoma" w:cs="Tahoma"/>
      <w:sz w:val="20"/>
      <w:szCs w:val="20"/>
    </w:rPr>
  </w:style>
  <w:style w:type="paragraph" w:styleId="a">
    <w:name w:val="List Bullet"/>
    <w:basedOn w:val="a0"/>
    <w:link w:val="Char2"/>
    <w:rsid w:val="003A5BCB"/>
    <w:pPr>
      <w:widowControl/>
      <w:numPr>
        <w:numId w:val="4"/>
      </w:numPr>
      <w:autoSpaceDE/>
      <w:autoSpaceDN/>
      <w:spacing w:after="120" w:line="288" w:lineRule="auto"/>
      <w:jc w:val="both"/>
    </w:pPr>
    <w:rPr>
      <w:rFonts w:ascii="Arial" w:eastAsia="Times New Roman" w:hAnsi="Arial" w:cs="Arial"/>
      <w:lang w:val="el-GR"/>
    </w:rPr>
  </w:style>
  <w:style w:type="character" w:customStyle="1" w:styleId="Char2">
    <w:name w:val="Λίστα με κουκκίδες Char"/>
    <w:link w:val="a"/>
    <w:rsid w:val="003A5BCB"/>
    <w:rPr>
      <w:rFonts w:ascii="Arial" w:eastAsia="Times New Roman" w:hAnsi="Arial" w:cs="Arial"/>
      <w:lang w:val="el-GR"/>
    </w:rPr>
  </w:style>
  <w:style w:type="paragraph" w:styleId="a8">
    <w:name w:val="List"/>
    <w:basedOn w:val="a0"/>
    <w:rsid w:val="003A5BCB"/>
    <w:pPr>
      <w:widowControl/>
      <w:autoSpaceDE/>
      <w:autoSpaceDN/>
      <w:spacing w:after="120" w:line="288" w:lineRule="auto"/>
      <w:ind w:left="283" w:hanging="283"/>
      <w:jc w:val="both"/>
    </w:pPr>
    <w:rPr>
      <w:rFonts w:ascii="Arial" w:eastAsia="Times New Roman" w:hAnsi="Arial" w:cs="Times New Roman"/>
      <w:szCs w:val="24"/>
      <w:lang w:val="el-GR" w:eastAsia="el-GR"/>
    </w:rPr>
  </w:style>
  <w:style w:type="character" w:styleId="a9">
    <w:name w:val="annotation reference"/>
    <w:basedOn w:val="a1"/>
    <w:uiPriority w:val="99"/>
    <w:semiHidden/>
    <w:unhideWhenUsed/>
    <w:rsid w:val="00C70C1D"/>
    <w:rPr>
      <w:sz w:val="16"/>
      <w:szCs w:val="16"/>
    </w:rPr>
  </w:style>
  <w:style w:type="paragraph" w:styleId="aa">
    <w:name w:val="annotation text"/>
    <w:basedOn w:val="a0"/>
    <w:link w:val="Char3"/>
    <w:uiPriority w:val="99"/>
    <w:semiHidden/>
    <w:unhideWhenUsed/>
    <w:rsid w:val="00C70C1D"/>
    <w:rPr>
      <w:sz w:val="20"/>
      <w:szCs w:val="20"/>
    </w:rPr>
  </w:style>
  <w:style w:type="character" w:customStyle="1" w:styleId="Char3">
    <w:name w:val="Κείμενο σχολίου Char"/>
    <w:basedOn w:val="a1"/>
    <w:link w:val="aa"/>
    <w:uiPriority w:val="99"/>
    <w:semiHidden/>
    <w:rsid w:val="00C70C1D"/>
    <w:rPr>
      <w:rFonts w:ascii="Tahoma" w:eastAsia="Tahoma" w:hAnsi="Tahoma" w:cs="Tahoma"/>
      <w:sz w:val="20"/>
      <w:szCs w:val="20"/>
    </w:rPr>
  </w:style>
  <w:style w:type="paragraph" w:styleId="ab">
    <w:name w:val="annotation subject"/>
    <w:basedOn w:val="aa"/>
    <w:next w:val="aa"/>
    <w:link w:val="Char4"/>
    <w:uiPriority w:val="99"/>
    <w:semiHidden/>
    <w:unhideWhenUsed/>
    <w:rsid w:val="00C70C1D"/>
    <w:rPr>
      <w:b/>
      <w:bCs/>
    </w:rPr>
  </w:style>
  <w:style w:type="character" w:customStyle="1" w:styleId="Char4">
    <w:name w:val="Θέμα σχολίου Char"/>
    <w:basedOn w:val="Char3"/>
    <w:link w:val="ab"/>
    <w:uiPriority w:val="99"/>
    <w:semiHidden/>
    <w:rsid w:val="00C70C1D"/>
    <w:rPr>
      <w:rFonts w:ascii="Tahoma" w:eastAsia="Tahoma" w:hAnsi="Tahoma" w:cs="Tahoma"/>
      <w:b/>
      <w:bCs/>
      <w:sz w:val="20"/>
      <w:szCs w:val="20"/>
    </w:rPr>
  </w:style>
  <w:style w:type="character" w:customStyle="1" w:styleId="3Char">
    <w:name w:val="Επικεφαλίδα 3 Char"/>
    <w:basedOn w:val="a1"/>
    <w:link w:val="3"/>
    <w:uiPriority w:val="9"/>
    <w:semiHidden/>
    <w:rsid w:val="007A0BBC"/>
    <w:rPr>
      <w:rFonts w:asciiTheme="majorHAnsi" w:eastAsiaTheme="majorEastAsia" w:hAnsiTheme="majorHAnsi" w:cstheme="majorBidi"/>
      <w:b/>
      <w:bCs/>
      <w:color w:val="4F81BD" w:themeColor="accent1"/>
    </w:rPr>
  </w:style>
  <w:style w:type="character" w:customStyle="1" w:styleId="4Char">
    <w:name w:val="Επικεφαλίδα 4 Char"/>
    <w:basedOn w:val="a1"/>
    <w:link w:val="4"/>
    <w:uiPriority w:val="9"/>
    <w:semiHidden/>
    <w:rsid w:val="007A0BBC"/>
    <w:rPr>
      <w:rFonts w:asciiTheme="majorHAnsi" w:eastAsiaTheme="majorEastAsia" w:hAnsiTheme="majorHAnsi" w:cstheme="majorBidi"/>
      <w:b/>
      <w:bCs/>
      <w:i/>
      <w:iCs/>
      <w:color w:val="4F81BD" w:themeColor="accent1"/>
    </w:rPr>
  </w:style>
  <w:style w:type="character" w:customStyle="1" w:styleId="5Char">
    <w:name w:val="Επικεφαλίδα 5 Char"/>
    <w:basedOn w:val="a1"/>
    <w:link w:val="5"/>
    <w:uiPriority w:val="9"/>
    <w:rsid w:val="007A0BBC"/>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semiHidden/>
    <w:rsid w:val="007A0BBC"/>
    <w:rPr>
      <w:rFonts w:asciiTheme="majorHAnsi" w:eastAsiaTheme="majorEastAsia" w:hAnsiTheme="majorHAnsi" w:cstheme="majorBidi"/>
      <w:i/>
      <w:iCs/>
      <w:color w:val="243F60" w:themeColor="accent1" w:themeShade="7F"/>
    </w:rPr>
  </w:style>
  <w:style w:type="character" w:customStyle="1" w:styleId="2Char">
    <w:name w:val="Επικεφαλίδα 2 Char"/>
    <w:basedOn w:val="a1"/>
    <w:link w:val="2"/>
    <w:uiPriority w:val="99"/>
    <w:rsid w:val="00D109E6"/>
    <w:rPr>
      <w:rFonts w:asciiTheme="majorHAnsi" w:eastAsiaTheme="majorEastAsia" w:hAnsiTheme="majorHAnsi" w:cstheme="majorBidi"/>
      <w:b/>
      <w:bCs/>
      <w:color w:val="4F81BD" w:themeColor="accent1"/>
      <w:sz w:val="26"/>
      <w:szCs w:val="26"/>
    </w:rPr>
  </w:style>
  <w:style w:type="paragraph" w:styleId="ac">
    <w:name w:val="header"/>
    <w:basedOn w:val="a0"/>
    <w:link w:val="Char5"/>
    <w:uiPriority w:val="99"/>
    <w:unhideWhenUsed/>
    <w:rsid w:val="00761BAA"/>
    <w:pPr>
      <w:tabs>
        <w:tab w:val="center" w:pos="4153"/>
        <w:tab w:val="right" w:pos="8306"/>
      </w:tabs>
    </w:pPr>
  </w:style>
  <w:style w:type="character" w:customStyle="1" w:styleId="Char5">
    <w:name w:val="Κεφαλίδα Char"/>
    <w:basedOn w:val="a1"/>
    <w:link w:val="ac"/>
    <w:uiPriority w:val="99"/>
    <w:rsid w:val="00761BAA"/>
    <w:rPr>
      <w:rFonts w:ascii="Tahoma" w:eastAsia="Tahoma" w:hAnsi="Tahoma" w:cs="Tahoma"/>
    </w:rPr>
  </w:style>
  <w:style w:type="paragraph" w:customStyle="1" w:styleId="CM1">
    <w:name w:val="CM1"/>
    <w:basedOn w:val="a0"/>
    <w:next w:val="a0"/>
    <w:uiPriority w:val="99"/>
    <w:rsid w:val="00B023AD"/>
    <w:pPr>
      <w:widowControl/>
      <w:adjustRightInd w:val="0"/>
    </w:pPr>
    <w:rPr>
      <w:rFonts w:ascii="EUAlbertina" w:eastAsiaTheme="minorHAnsi" w:hAnsi="EUAlbertina" w:cstheme="minorBidi"/>
      <w:sz w:val="24"/>
      <w:szCs w:val="24"/>
      <w:lang w:val="el-GR"/>
    </w:rPr>
  </w:style>
  <w:style w:type="paragraph" w:customStyle="1" w:styleId="CM3">
    <w:name w:val="CM3"/>
    <w:basedOn w:val="a0"/>
    <w:next w:val="a0"/>
    <w:uiPriority w:val="99"/>
    <w:rsid w:val="00B023AD"/>
    <w:pPr>
      <w:widowControl/>
      <w:adjustRightInd w:val="0"/>
    </w:pPr>
    <w:rPr>
      <w:rFonts w:ascii="EUAlbertina" w:eastAsiaTheme="minorHAnsi" w:hAnsi="EUAlbertina" w:cstheme="minorBidi"/>
      <w:sz w:val="24"/>
      <w:szCs w:val="24"/>
      <w:lang w:val="el-GR"/>
    </w:rPr>
  </w:style>
  <w:style w:type="table" w:styleId="ad">
    <w:name w:val="Table Grid"/>
    <w:basedOn w:val="a2"/>
    <w:uiPriority w:val="59"/>
    <w:rsid w:val="000A5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2"/>
    <w:basedOn w:val="a0"/>
    <w:uiPriority w:val="99"/>
    <w:semiHidden/>
    <w:unhideWhenUsed/>
    <w:rsid w:val="00CB5B49"/>
    <w:pPr>
      <w:ind w:left="566" w:hanging="283"/>
      <w:contextualSpacing/>
    </w:pPr>
  </w:style>
  <w:style w:type="paragraph" w:styleId="30">
    <w:name w:val="List 3"/>
    <w:basedOn w:val="a0"/>
    <w:uiPriority w:val="99"/>
    <w:semiHidden/>
    <w:unhideWhenUsed/>
    <w:rsid w:val="00CB5B49"/>
    <w:pPr>
      <w:ind w:left="849" w:hanging="283"/>
      <w:contextualSpacing/>
    </w:pPr>
  </w:style>
  <w:style w:type="paragraph" w:styleId="ae">
    <w:name w:val="List Continue"/>
    <w:basedOn w:val="a0"/>
    <w:uiPriority w:val="99"/>
    <w:semiHidden/>
    <w:unhideWhenUsed/>
    <w:rsid w:val="00CB5B49"/>
    <w:pPr>
      <w:spacing w:after="120"/>
      <w:ind w:left="283"/>
      <w:contextualSpacing/>
    </w:pPr>
  </w:style>
  <w:style w:type="paragraph" w:customStyle="1" w:styleId="10">
    <w:name w:val="Παράγραφος λίστας1"/>
    <w:basedOn w:val="a0"/>
    <w:rsid w:val="00E1133F"/>
    <w:pPr>
      <w:ind w:left="102" w:hanging="873"/>
    </w:pPr>
    <w:rPr>
      <w:rFonts w:eastAsia="Times New Roman"/>
    </w:rPr>
  </w:style>
</w:styles>
</file>

<file path=word/webSettings.xml><?xml version="1.0" encoding="utf-8"?>
<w:webSettings xmlns:r="http://schemas.openxmlformats.org/officeDocument/2006/relationships" xmlns:w="http://schemas.openxmlformats.org/wordprocessingml/2006/main">
  <w:divs>
    <w:div w:id="1230534093">
      <w:bodyDiv w:val="1"/>
      <w:marLeft w:val="0"/>
      <w:marRight w:val="0"/>
      <w:marTop w:val="0"/>
      <w:marBottom w:val="0"/>
      <w:divBdr>
        <w:top w:val="none" w:sz="0" w:space="0" w:color="auto"/>
        <w:left w:val="none" w:sz="0" w:space="0" w:color="auto"/>
        <w:bottom w:val="none" w:sz="0" w:space="0" w:color="auto"/>
        <w:right w:val="none" w:sz="0" w:space="0" w:color="auto"/>
      </w:divBdr>
    </w:div>
    <w:div w:id="1643730251">
      <w:bodyDiv w:val="1"/>
      <w:marLeft w:val="0"/>
      <w:marRight w:val="0"/>
      <w:marTop w:val="0"/>
      <w:marBottom w:val="0"/>
      <w:divBdr>
        <w:top w:val="none" w:sz="0" w:space="0" w:color="auto"/>
        <w:left w:val="none" w:sz="0" w:space="0" w:color="auto"/>
        <w:bottom w:val="none" w:sz="0" w:space="0" w:color="auto"/>
        <w:right w:val="none" w:sz="0" w:space="0" w:color="auto"/>
      </w:divBdr>
      <w:divsChild>
        <w:div w:id="1344940842">
          <w:marLeft w:val="0"/>
          <w:marRight w:val="0"/>
          <w:marTop w:val="0"/>
          <w:marBottom w:val="0"/>
          <w:divBdr>
            <w:top w:val="none" w:sz="0" w:space="0" w:color="auto"/>
            <w:left w:val="none" w:sz="0" w:space="0" w:color="auto"/>
            <w:bottom w:val="none" w:sz="0" w:space="0" w:color="auto"/>
            <w:right w:val="none" w:sz="0" w:space="0" w:color="auto"/>
          </w:divBdr>
        </w:div>
        <w:div w:id="114912902">
          <w:marLeft w:val="0"/>
          <w:marRight w:val="0"/>
          <w:marTop w:val="0"/>
          <w:marBottom w:val="0"/>
          <w:divBdr>
            <w:top w:val="none" w:sz="0" w:space="0" w:color="auto"/>
            <w:left w:val="none" w:sz="0" w:space="0" w:color="auto"/>
            <w:bottom w:val="none" w:sz="0" w:space="0" w:color="auto"/>
            <w:right w:val="none" w:sz="0" w:space="0" w:color="auto"/>
          </w:divBdr>
        </w:div>
        <w:div w:id="940066670">
          <w:marLeft w:val="0"/>
          <w:marRight w:val="0"/>
          <w:marTop w:val="0"/>
          <w:marBottom w:val="0"/>
          <w:divBdr>
            <w:top w:val="none" w:sz="0" w:space="0" w:color="auto"/>
            <w:left w:val="none" w:sz="0" w:space="0" w:color="auto"/>
            <w:bottom w:val="none" w:sz="0" w:space="0" w:color="auto"/>
            <w:right w:val="none" w:sz="0" w:space="0" w:color="auto"/>
          </w:divBdr>
        </w:div>
        <w:div w:id="1608192605">
          <w:marLeft w:val="0"/>
          <w:marRight w:val="0"/>
          <w:marTop w:val="0"/>
          <w:marBottom w:val="0"/>
          <w:divBdr>
            <w:top w:val="none" w:sz="0" w:space="0" w:color="auto"/>
            <w:left w:val="none" w:sz="0" w:space="0" w:color="auto"/>
            <w:bottom w:val="none" w:sz="0" w:space="0" w:color="auto"/>
            <w:right w:val="none" w:sz="0" w:space="0" w:color="auto"/>
          </w:divBdr>
        </w:div>
        <w:div w:id="139545772">
          <w:marLeft w:val="0"/>
          <w:marRight w:val="0"/>
          <w:marTop w:val="0"/>
          <w:marBottom w:val="0"/>
          <w:divBdr>
            <w:top w:val="none" w:sz="0" w:space="0" w:color="auto"/>
            <w:left w:val="none" w:sz="0" w:space="0" w:color="auto"/>
            <w:bottom w:val="none" w:sz="0" w:space="0" w:color="auto"/>
            <w:right w:val="none" w:sz="0" w:space="0" w:color="auto"/>
          </w:divBdr>
        </w:div>
        <w:div w:id="173812985">
          <w:marLeft w:val="0"/>
          <w:marRight w:val="0"/>
          <w:marTop w:val="0"/>
          <w:marBottom w:val="0"/>
          <w:divBdr>
            <w:top w:val="none" w:sz="0" w:space="0" w:color="auto"/>
            <w:left w:val="none" w:sz="0" w:space="0" w:color="auto"/>
            <w:bottom w:val="none" w:sz="0" w:space="0" w:color="auto"/>
            <w:right w:val="none" w:sz="0" w:space="0" w:color="auto"/>
          </w:divBdr>
        </w:div>
        <w:div w:id="1616250275">
          <w:marLeft w:val="0"/>
          <w:marRight w:val="0"/>
          <w:marTop w:val="0"/>
          <w:marBottom w:val="0"/>
          <w:divBdr>
            <w:top w:val="none" w:sz="0" w:space="0" w:color="auto"/>
            <w:left w:val="none" w:sz="0" w:space="0" w:color="auto"/>
            <w:bottom w:val="none" w:sz="0" w:space="0" w:color="auto"/>
            <w:right w:val="none" w:sz="0" w:space="0" w:color="auto"/>
          </w:divBdr>
        </w:div>
        <w:div w:id="1430152702">
          <w:marLeft w:val="0"/>
          <w:marRight w:val="0"/>
          <w:marTop w:val="0"/>
          <w:marBottom w:val="0"/>
          <w:divBdr>
            <w:top w:val="none" w:sz="0" w:space="0" w:color="auto"/>
            <w:left w:val="none" w:sz="0" w:space="0" w:color="auto"/>
            <w:bottom w:val="none" w:sz="0" w:space="0" w:color="auto"/>
            <w:right w:val="none" w:sz="0" w:space="0" w:color="auto"/>
          </w:divBdr>
        </w:div>
        <w:div w:id="1452086484">
          <w:marLeft w:val="0"/>
          <w:marRight w:val="0"/>
          <w:marTop w:val="0"/>
          <w:marBottom w:val="0"/>
          <w:divBdr>
            <w:top w:val="none" w:sz="0" w:space="0" w:color="auto"/>
            <w:left w:val="none" w:sz="0" w:space="0" w:color="auto"/>
            <w:bottom w:val="none" w:sz="0" w:space="0" w:color="auto"/>
            <w:right w:val="none" w:sz="0" w:space="0" w:color="auto"/>
          </w:divBdr>
        </w:div>
        <w:div w:id="646399999">
          <w:marLeft w:val="0"/>
          <w:marRight w:val="0"/>
          <w:marTop w:val="0"/>
          <w:marBottom w:val="0"/>
          <w:divBdr>
            <w:top w:val="none" w:sz="0" w:space="0" w:color="auto"/>
            <w:left w:val="none" w:sz="0" w:space="0" w:color="auto"/>
            <w:bottom w:val="none" w:sz="0" w:space="0" w:color="auto"/>
            <w:right w:val="none" w:sz="0" w:space="0" w:color="auto"/>
          </w:divBdr>
        </w:div>
        <w:div w:id="478421528">
          <w:marLeft w:val="0"/>
          <w:marRight w:val="0"/>
          <w:marTop w:val="0"/>
          <w:marBottom w:val="0"/>
          <w:divBdr>
            <w:top w:val="none" w:sz="0" w:space="0" w:color="auto"/>
            <w:left w:val="none" w:sz="0" w:space="0" w:color="auto"/>
            <w:bottom w:val="none" w:sz="0" w:space="0" w:color="auto"/>
            <w:right w:val="none" w:sz="0" w:space="0" w:color="auto"/>
          </w:divBdr>
        </w:div>
        <w:div w:id="116990545">
          <w:marLeft w:val="0"/>
          <w:marRight w:val="0"/>
          <w:marTop w:val="0"/>
          <w:marBottom w:val="0"/>
          <w:divBdr>
            <w:top w:val="none" w:sz="0" w:space="0" w:color="auto"/>
            <w:left w:val="none" w:sz="0" w:space="0" w:color="auto"/>
            <w:bottom w:val="none" w:sz="0" w:space="0" w:color="auto"/>
            <w:right w:val="none" w:sz="0" w:space="0" w:color="auto"/>
          </w:divBdr>
        </w:div>
        <w:div w:id="2122649367">
          <w:marLeft w:val="0"/>
          <w:marRight w:val="0"/>
          <w:marTop w:val="0"/>
          <w:marBottom w:val="0"/>
          <w:divBdr>
            <w:top w:val="none" w:sz="0" w:space="0" w:color="auto"/>
            <w:left w:val="none" w:sz="0" w:space="0" w:color="auto"/>
            <w:bottom w:val="none" w:sz="0" w:space="0" w:color="auto"/>
            <w:right w:val="none" w:sz="0" w:space="0" w:color="auto"/>
          </w:divBdr>
        </w:div>
        <w:div w:id="1903104590">
          <w:marLeft w:val="0"/>
          <w:marRight w:val="0"/>
          <w:marTop w:val="0"/>
          <w:marBottom w:val="0"/>
          <w:divBdr>
            <w:top w:val="none" w:sz="0" w:space="0" w:color="auto"/>
            <w:left w:val="none" w:sz="0" w:space="0" w:color="auto"/>
            <w:bottom w:val="none" w:sz="0" w:space="0" w:color="auto"/>
            <w:right w:val="none" w:sz="0" w:space="0" w:color="auto"/>
          </w:divBdr>
        </w:div>
        <w:div w:id="1024984853">
          <w:marLeft w:val="0"/>
          <w:marRight w:val="0"/>
          <w:marTop w:val="0"/>
          <w:marBottom w:val="0"/>
          <w:divBdr>
            <w:top w:val="none" w:sz="0" w:space="0" w:color="auto"/>
            <w:left w:val="none" w:sz="0" w:space="0" w:color="auto"/>
            <w:bottom w:val="none" w:sz="0" w:space="0" w:color="auto"/>
            <w:right w:val="none" w:sz="0" w:space="0" w:color="auto"/>
          </w:divBdr>
        </w:div>
        <w:div w:id="1059937234">
          <w:marLeft w:val="0"/>
          <w:marRight w:val="0"/>
          <w:marTop w:val="0"/>
          <w:marBottom w:val="0"/>
          <w:divBdr>
            <w:top w:val="none" w:sz="0" w:space="0" w:color="auto"/>
            <w:left w:val="none" w:sz="0" w:space="0" w:color="auto"/>
            <w:bottom w:val="none" w:sz="0" w:space="0" w:color="auto"/>
            <w:right w:val="none" w:sz="0" w:space="0" w:color="auto"/>
          </w:divBdr>
        </w:div>
        <w:div w:id="486165057">
          <w:marLeft w:val="0"/>
          <w:marRight w:val="0"/>
          <w:marTop w:val="0"/>
          <w:marBottom w:val="0"/>
          <w:divBdr>
            <w:top w:val="none" w:sz="0" w:space="0" w:color="auto"/>
            <w:left w:val="none" w:sz="0" w:space="0" w:color="auto"/>
            <w:bottom w:val="none" w:sz="0" w:space="0" w:color="auto"/>
            <w:right w:val="none" w:sz="0" w:space="0" w:color="auto"/>
          </w:divBdr>
        </w:div>
        <w:div w:id="1207715259">
          <w:marLeft w:val="0"/>
          <w:marRight w:val="0"/>
          <w:marTop w:val="0"/>
          <w:marBottom w:val="0"/>
          <w:divBdr>
            <w:top w:val="none" w:sz="0" w:space="0" w:color="auto"/>
            <w:left w:val="none" w:sz="0" w:space="0" w:color="auto"/>
            <w:bottom w:val="none" w:sz="0" w:space="0" w:color="auto"/>
            <w:right w:val="none" w:sz="0" w:space="0" w:color="auto"/>
          </w:divBdr>
        </w:div>
        <w:div w:id="808401559">
          <w:marLeft w:val="0"/>
          <w:marRight w:val="0"/>
          <w:marTop w:val="0"/>
          <w:marBottom w:val="0"/>
          <w:divBdr>
            <w:top w:val="none" w:sz="0" w:space="0" w:color="auto"/>
            <w:left w:val="none" w:sz="0" w:space="0" w:color="auto"/>
            <w:bottom w:val="none" w:sz="0" w:space="0" w:color="auto"/>
            <w:right w:val="none" w:sz="0" w:space="0" w:color="auto"/>
          </w:divBdr>
        </w:div>
        <w:div w:id="1085759755">
          <w:marLeft w:val="0"/>
          <w:marRight w:val="0"/>
          <w:marTop w:val="0"/>
          <w:marBottom w:val="0"/>
          <w:divBdr>
            <w:top w:val="none" w:sz="0" w:space="0" w:color="auto"/>
            <w:left w:val="none" w:sz="0" w:space="0" w:color="auto"/>
            <w:bottom w:val="none" w:sz="0" w:space="0" w:color="auto"/>
            <w:right w:val="none" w:sz="0" w:space="0" w:color="auto"/>
          </w:divBdr>
        </w:div>
        <w:div w:id="2051107641">
          <w:marLeft w:val="0"/>
          <w:marRight w:val="0"/>
          <w:marTop w:val="0"/>
          <w:marBottom w:val="0"/>
          <w:divBdr>
            <w:top w:val="none" w:sz="0" w:space="0" w:color="auto"/>
            <w:left w:val="none" w:sz="0" w:space="0" w:color="auto"/>
            <w:bottom w:val="none" w:sz="0" w:space="0" w:color="auto"/>
            <w:right w:val="none" w:sz="0" w:space="0" w:color="auto"/>
          </w:divBdr>
        </w:div>
        <w:div w:id="176164910">
          <w:marLeft w:val="0"/>
          <w:marRight w:val="0"/>
          <w:marTop w:val="0"/>
          <w:marBottom w:val="0"/>
          <w:divBdr>
            <w:top w:val="none" w:sz="0" w:space="0" w:color="auto"/>
            <w:left w:val="none" w:sz="0" w:space="0" w:color="auto"/>
            <w:bottom w:val="none" w:sz="0" w:space="0" w:color="auto"/>
            <w:right w:val="none" w:sz="0" w:space="0" w:color="auto"/>
          </w:divBdr>
        </w:div>
        <w:div w:id="1339498766">
          <w:marLeft w:val="0"/>
          <w:marRight w:val="0"/>
          <w:marTop w:val="0"/>
          <w:marBottom w:val="0"/>
          <w:divBdr>
            <w:top w:val="none" w:sz="0" w:space="0" w:color="auto"/>
            <w:left w:val="none" w:sz="0" w:space="0" w:color="auto"/>
            <w:bottom w:val="none" w:sz="0" w:space="0" w:color="auto"/>
            <w:right w:val="none" w:sz="0" w:space="0" w:color="auto"/>
          </w:divBdr>
        </w:div>
        <w:div w:id="990249483">
          <w:marLeft w:val="0"/>
          <w:marRight w:val="0"/>
          <w:marTop w:val="0"/>
          <w:marBottom w:val="0"/>
          <w:divBdr>
            <w:top w:val="none" w:sz="0" w:space="0" w:color="auto"/>
            <w:left w:val="none" w:sz="0" w:space="0" w:color="auto"/>
            <w:bottom w:val="none" w:sz="0" w:space="0" w:color="auto"/>
            <w:right w:val="none" w:sz="0" w:space="0" w:color="auto"/>
          </w:divBdr>
        </w:div>
        <w:div w:id="1705444372">
          <w:marLeft w:val="0"/>
          <w:marRight w:val="0"/>
          <w:marTop w:val="0"/>
          <w:marBottom w:val="0"/>
          <w:divBdr>
            <w:top w:val="none" w:sz="0" w:space="0" w:color="auto"/>
            <w:left w:val="none" w:sz="0" w:space="0" w:color="auto"/>
            <w:bottom w:val="none" w:sz="0" w:space="0" w:color="auto"/>
            <w:right w:val="none" w:sz="0" w:space="0" w:color="auto"/>
          </w:divBdr>
        </w:div>
        <w:div w:id="2093819162">
          <w:marLeft w:val="0"/>
          <w:marRight w:val="0"/>
          <w:marTop w:val="0"/>
          <w:marBottom w:val="0"/>
          <w:divBdr>
            <w:top w:val="none" w:sz="0" w:space="0" w:color="auto"/>
            <w:left w:val="none" w:sz="0" w:space="0" w:color="auto"/>
            <w:bottom w:val="none" w:sz="0" w:space="0" w:color="auto"/>
            <w:right w:val="none" w:sz="0" w:space="0" w:color="auto"/>
          </w:divBdr>
        </w:div>
        <w:div w:id="1965505766">
          <w:marLeft w:val="0"/>
          <w:marRight w:val="0"/>
          <w:marTop w:val="0"/>
          <w:marBottom w:val="0"/>
          <w:divBdr>
            <w:top w:val="none" w:sz="0" w:space="0" w:color="auto"/>
            <w:left w:val="none" w:sz="0" w:space="0" w:color="auto"/>
            <w:bottom w:val="none" w:sz="0" w:space="0" w:color="auto"/>
            <w:right w:val="none" w:sz="0" w:space="0" w:color="auto"/>
          </w:divBdr>
        </w:div>
        <w:div w:id="1465804504">
          <w:marLeft w:val="0"/>
          <w:marRight w:val="0"/>
          <w:marTop w:val="0"/>
          <w:marBottom w:val="0"/>
          <w:divBdr>
            <w:top w:val="none" w:sz="0" w:space="0" w:color="auto"/>
            <w:left w:val="none" w:sz="0" w:space="0" w:color="auto"/>
            <w:bottom w:val="none" w:sz="0" w:space="0" w:color="auto"/>
            <w:right w:val="none" w:sz="0" w:space="0" w:color="auto"/>
          </w:divBdr>
        </w:div>
        <w:div w:id="405104424">
          <w:marLeft w:val="0"/>
          <w:marRight w:val="0"/>
          <w:marTop w:val="0"/>
          <w:marBottom w:val="0"/>
          <w:divBdr>
            <w:top w:val="none" w:sz="0" w:space="0" w:color="auto"/>
            <w:left w:val="none" w:sz="0" w:space="0" w:color="auto"/>
            <w:bottom w:val="none" w:sz="0" w:space="0" w:color="auto"/>
            <w:right w:val="none" w:sz="0" w:space="0" w:color="auto"/>
          </w:divBdr>
        </w:div>
        <w:div w:id="4138456">
          <w:marLeft w:val="0"/>
          <w:marRight w:val="0"/>
          <w:marTop w:val="0"/>
          <w:marBottom w:val="0"/>
          <w:divBdr>
            <w:top w:val="none" w:sz="0" w:space="0" w:color="auto"/>
            <w:left w:val="none" w:sz="0" w:space="0" w:color="auto"/>
            <w:bottom w:val="none" w:sz="0" w:space="0" w:color="auto"/>
            <w:right w:val="none" w:sz="0" w:space="0" w:color="auto"/>
          </w:divBdr>
        </w:div>
        <w:div w:id="1498811212">
          <w:marLeft w:val="0"/>
          <w:marRight w:val="0"/>
          <w:marTop w:val="0"/>
          <w:marBottom w:val="0"/>
          <w:divBdr>
            <w:top w:val="none" w:sz="0" w:space="0" w:color="auto"/>
            <w:left w:val="none" w:sz="0" w:space="0" w:color="auto"/>
            <w:bottom w:val="none" w:sz="0" w:space="0" w:color="auto"/>
            <w:right w:val="none" w:sz="0" w:space="0" w:color="auto"/>
          </w:divBdr>
        </w:div>
        <w:div w:id="1981298558">
          <w:marLeft w:val="0"/>
          <w:marRight w:val="0"/>
          <w:marTop w:val="0"/>
          <w:marBottom w:val="0"/>
          <w:divBdr>
            <w:top w:val="none" w:sz="0" w:space="0" w:color="auto"/>
            <w:left w:val="none" w:sz="0" w:space="0" w:color="auto"/>
            <w:bottom w:val="none" w:sz="0" w:space="0" w:color="auto"/>
            <w:right w:val="none" w:sz="0" w:space="0" w:color="auto"/>
          </w:divBdr>
        </w:div>
        <w:div w:id="1957904330">
          <w:marLeft w:val="0"/>
          <w:marRight w:val="0"/>
          <w:marTop w:val="0"/>
          <w:marBottom w:val="0"/>
          <w:divBdr>
            <w:top w:val="none" w:sz="0" w:space="0" w:color="auto"/>
            <w:left w:val="none" w:sz="0" w:space="0" w:color="auto"/>
            <w:bottom w:val="none" w:sz="0" w:space="0" w:color="auto"/>
            <w:right w:val="none" w:sz="0" w:space="0" w:color="auto"/>
          </w:divBdr>
        </w:div>
        <w:div w:id="1036395905">
          <w:marLeft w:val="0"/>
          <w:marRight w:val="0"/>
          <w:marTop w:val="0"/>
          <w:marBottom w:val="0"/>
          <w:divBdr>
            <w:top w:val="none" w:sz="0" w:space="0" w:color="auto"/>
            <w:left w:val="none" w:sz="0" w:space="0" w:color="auto"/>
            <w:bottom w:val="none" w:sz="0" w:space="0" w:color="auto"/>
            <w:right w:val="none" w:sz="0" w:space="0" w:color="auto"/>
          </w:divBdr>
        </w:div>
        <w:div w:id="1253972097">
          <w:marLeft w:val="0"/>
          <w:marRight w:val="0"/>
          <w:marTop w:val="0"/>
          <w:marBottom w:val="0"/>
          <w:divBdr>
            <w:top w:val="none" w:sz="0" w:space="0" w:color="auto"/>
            <w:left w:val="none" w:sz="0" w:space="0" w:color="auto"/>
            <w:bottom w:val="none" w:sz="0" w:space="0" w:color="auto"/>
            <w:right w:val="none" w:sz="0" w:space="0" w:color="auto"/>
          </w:divBdr>
        </w:div>
        <w:div w:id="549460289">
          <w:marLeft w:val="0"/>
          <w:marRight w:val="0"/>
          <w:marTop w:val="0"/>
          <w:marBottom w:val="0"/>
          <w:divBdr>
            <w:top w:val="none" w:sz="0" w:space="0" w:color="auto"/>
            <w:left w:val="none" w:sz="0" w:space="0" w:color="auto"/>
            <w:bottom w:val="none" w:sz="0" w:space="0" w:color="auto"/>
            <w:right w:val="none" w:sz="0" w:space="0" w:color="auto"/>
          </w:divBdr>
        </w:div>
        <w:div w:id="1671256743">
          <w:marLeft w:val="0"/>
          <w:marRight w:val="0"/>
          <w:marTop w:val="0"/>
          <w:marBottom w:val="0"/>
          <w:divBdr>
            <w:top w:val="none" w:sz="0" w:space="0" w:color="auto"/>
            <w:left w:val="none" w:sz="0" w:space="0" w:color="auto"/>
            <w:bottom w:val="none" w:sz="0" w:space="0" w:color="auto"/>
            <w:right w:val="none" w:sz="0" w:space="0" w:color="auto"/>
          </w:divBdr>
        </w:div>
        <w:div w:id="1500316910">
          <w:marLeft w:val="0"/>
          <w:marRight w:val="0"/>
          <w:marTop w:val="0"/>
          <w:marBottom w:val="0"/>
          <w:divBdr>
            <w:top w:val="none" w:sz="0" w:space="0" w:color="auto"/>
            <w:left w:val="none" w:sz="0" w:space="0" w:color="auto"/>
            <w:bottom w:val="none" w:sz="0" w:space="0" w:color="auto"/>
            <w:right w:val="none" w:sz="0" w:space="0" w:color="auto"/>
          </w:divBdr>
        </w:div>
        <w:div w:id="538008252">
          <w:marLeft w:val="0"/>
          <w:marRight w:val="0"/>
          <w:marTop w:val="0"/>
          <w:marBottom w:val="0"/>
          <w:divBdr>
            <w:top w:val="none" w:sz="0" w:space="0" w:color="auto"/>
            <w:left w:val="none" w:sz="0" w:space="0" w:color="auto"/>
            <w:bottom w:val="none" w:sz="0" w:space="0" w:color="auto"/>
            <w:right w:val="none" w:sz="0" w:space="0" w:color="auto"/>
          </w:divBdr>
        </w:div>
        <w:div w:id="1951282720">
          <w:marLeft w:val="0"/>
          <w:marRight w:val="0"/>
          <w:marTop w:val="0"/>
          <w:marBottom w:val="0"/>
          <w:divBdr>
            <w:top w:val="none" w:sz="0" w:space="0" w:color="auto"/>
            <w:left w:val="none" w:sz="0" w:space="0" w:color="auto"/>
            <w:bottom w:val="none" w:sz="0" w:space="0" w:color="auto"/>
            <w:right w:val="none" w:sz="0" w:space="0" w:color="auto"/>
          </w:divBdr>
        </w:div>
        <w:div w:id="1865702309">
          <w:marLeft w:val="0"/>
          <w:marRight w:val="0"/>
          <w:marTop w:val="0"/>
          <w:marBottom w:val="0"/>
          <w:divBdr>
            <w:top w:val="none" w:sz="0" w:space="0" w:color="auto"/>
            <w:left w:val="none" w:sz="0" w:space="0" w:color="auto"/>
            <w:bottom w:val="none" w:sz="0" w:space="0" w:color="auto"/>
            <w:right w:val="none" w:sz="0" w:space="0" w:color="auto"/>
          </w:divBdr>
        </w:div>
        <w:div w:id="1901360151">
          <w:marLeft w:val="0"/>
          <w:marRight w:val="0"/>
          <w:marTop w:val="0"/>
          <w:marBottom w:val="0"/>
          <w:divBdr>
            <w:top w:val="none" w:sz="0" w:space="0" w:color="auto"/>
            <w:left w:val="none" w:sz="0" w:space="0" w:color="auto"/>
            <w:bottom w:val="none" w:sz="0" w:space="0" w:color="auto"/>
            <w:right w:val="none" w:sz="0" w:space="0" w:color="auto"/>
          </w:divBdr>
        </w:div>
        <w:div w:id="1412390233">
          <w:marLeft w:val="0"/>
          <w:marRight w:val="0"/>
          <w:marTop w:val="0"/>
          <w:marBottom w:val="0"/>
          <w:divBdr>
            <w:top w:val="none" w:sz="0" w:space="0" w:color="auto"/>
            <w:left w:val="none" w:sz="0" w:space="0" w:color="auto"/>
            <w:bottom w:val="none" w:sz="0" w:space="0" w:color="auto"/>
            <w:right w:val="none" w:sz="0" w:space="0" w:color="auto"/>
          </w:divBdr>
        </w:div>
        <w:div w:id="832986280">
          <w:marLeft w:val="0"/>
          <w:marRight w:val="0"/>
          <w:marTop w:val="0"/>
          <w:marBottom w:val="0"/>
          <w:divBdr>
            <w:top w:val="none" w:sz="0" w:space="0" w:color="auto"/>
            <w:left w:val="none" w:sz="0" w:space="0" w:color="auto"/>
            <w:bottom w:val="none" w:sz="0" w:space="0" w:color="auto"/>
            <w:right w:val="none" w:sz="0" w:space="0" w:color="auto"/>
          </w:divBdr>
        </w:div>
        <w:div w:id="970357005">
          <w:marLeft w:val="0"/>
          <w:marRight w:val="0"/>
          <w:marTop w:val="0"/>
          <w:marBottom w:val="0"/>
          <w:divBdr>
            <w:top w:val="none" w:sz="0" w:space="0" w:color="auto"/>
            <w:left w:val="none" w:sz="0" w:space="0" w:color="auto"/>
            <w:bottom w:val="none" w:sz="0" w:space="0" w:color="auto"/>
            <w:right w:val="none" w:sz="0" w:space="0" w:color="auto"/>
          </w:divBdr>
        </w:div>
        <w:div w:id="78916833">
          <w:marLeft w:val="0"/>
          <w:marRight w:val="0"/>
          <w:marTop w:val="0"/>
          <w:marBottom w:val="0"/>
          <w:divBdr>
            <w:top w:val="none" w:sz="0" w:space="0" w:color="auto"/>
            <w:left w:val="none" w:sz="0" w:space="0" w:color="auto"/>
            <w:bottom w:val="none" w:sz="0" w:space="0" w:color="auto"/>
            <w:right w:val="none" w:sz="0" w:space="0" w:color="auto"/>
          </w:divBdr>
        </w:div>
        <w:div w:id="1294023154">
          <w:marLeft w:val="0"/>
          <w:marRight w:val="0"/>
          <w:marTop w:val="0"/>
          <w:marBottom w:val="0"/>
          <w:divBdr>
            <w:top w:val="none" w:sz="0" w:space="0" w:color="auto"/>
            <w:left w:val="none" w:sz="0" w:space="0" w:color="auto"/>
            <w:bottom w:val="none" w:sz="0" w:space="0" w:color="auto"/>
            <w:right w:val="none" w:sz="0" w:space="0" w:color="auto"/>
          </w:divBdr>
        </w:div>
        <w:div w:id="464008066">
          <w:marLeft w:val="0"/>
          <w:marRight w:val="0"/>
          <w:marTop w:val="0"/>
          <w:marBottom w:val="0"/>
          <w:divBdr>
            <w:top w:val="none" w:sz="0" w:space="0" w:color="auto"/>
            <w:left w:val="none" w:sz="0" w:space="0" w:color="auto"/>
            <w:bottom w:val="none" w:sz="0" w:space="0" w:color="auto"/>
            <w:right w:val="none" w:sz="0" w:space="0" w:color="auto"/>
          </w:divBdr>
        </w:div>
        <w:div w:id="474568646">
          <w:marLeft w:val="0"/>
          <w:marRight w:val="0"/>
          <w:marTop w:val="0"/>
          <w:marBottom w:val="0"/>
          <w:divBdr>
            <w:top w:val="none" w:sz="0" w:space="0" w:color="auto"/>
            <w:left w:val="none" w:sz="0" w:space="0" w:color="auto"/>
            <w:bottom w:val="none" w:sz="0" w:space="0" w:color="auto"/>
            <w:right w:val="none" w:sz="0" w:space="0" w:color="auto"/>
          </w:divBdr>
        </w:div>
        <w:div w:id="1928078779">
          <w:marLeft w:val="0"/>
          <w:marRight w:val="0"/>
          <w:marTop w:val="0"/>
          <w:marBottom w:val="0"/>
          <w:divBdr>
            <w:top w:val="none" w:sz="0" w:space="0" w:color="auto"/>
            <w:left w:val="none" w:sz="0" w:space="0" w:color="auto"/>
            <w:bottom w:val="none" w:sz="0" w:space="0" w:color="auto"/>
            <w:right w:val="none" w:sz="0" w:space="0" w:color="auto"/>
          </w:divBdr>
        </w:div>
        <w:div w:id="34165668">
          <w:marLeft w:val="0"/>
          <w:marRight w:val="0"/>
          <w:marTop w:val="0"/>
          <w:marBottom w:val="0"/>
          <w:divBdr>
            <w:top w:val="none" w:sz="0" w:space="0" w:color="auto"/>
            <w:left w:val="none" w:sz="0" w:space="0" w:color="auto"/>
            <w:bottom w:val="none" w:sz="0" w:space="0" w:color="auto"/>
            <w:right w:val="none" w:sz="0" w:space="0" w:color="auto"/>
          </w:divBdr>
        </w:div>
        <w:div w:id="1708530469">
          <w:marLeft w:val="0"/>
          <w:marRight w:val="0"/>
          <w:marTop w:val="0"/>
          <w:marBottom w:val="0"/>
          <w:divBdr>
            <w:top w:val="none" w:sz="0" w:space="0" w:color="auto"/>
            <w:left w:val="none" w:sz="0" w:space="0" w:color="auto"/>
            <w:bottom w:val="none" w:sz="0" w:space="0" w:color="auto"/>
            <w:right w:val="none" w:sz="0" w:space="0" w:color="auto"/>
          </w:divBdr>
        </w:div>
        <w:div w:id="1834644414">
          <w:marLeft w:val="0"/>
          <w:marRight w:val="0"/>
          <w:marTop w:val="0"/>
          <w:marBottom w:val="0"/>
          <w:divBdr>
            <w:top w:val="none" w:sz="0" w:space="0" w:color="auto"/>
            <w:left w:val="none" w:sz="0" w:space="0" w:color="auto"/>
            <w:bottom w:val="none" w:sz="0" w:space="0" w:color="auto"/>
            <w:right w:val="none" w:sz="0" w:space="0" w:color="auto"/>
          </w:divBdr>
        </w:div>
        <w:div w:id="1816141815">
          <w:marLeft w:val="0"/>
          <w:marRight w:val="0"/>
          <w:marTop w:val="0"/>
          <w:marBottom w:val="0"/>
          <w:divBdr>
            <w:top w:val="none" w:sz="0" w:space="0" w:color="auto"/>
            <w:left w:val="none" w:sz="0" w:space="0" w:color="auto"/>
            <w:bottom w:val="none" w:sz="0" w:space="0" w:color="auto"/>
            <w:right w:val="none" w:sz="0" w:space="0" w:color="auto"/>
          </w:divBdr>
        </w:div>
        <w:div w:id="1432816813">
          <w:marLeft w:val="0"/>
          <w:marRight w:val="0"/>
          <w:marTop w:val="0"/>
          <w:marBottom w:val="0"/>
          <w:divBdr>
            <w:top w:val="none" w:sz="0" w:space="0" w:color="auto"/>
            <w:left w:val="none" w:sz="0" w:space="0" w:color="auto"/>
            <w:bottom w:val="none" w:sz="0" w:space="0" w:color="auto"/>
            <w:right w:val="none" w:sz="0" w:space="0" w:color="auto"/>
          </w:divBdr>
        </w:div>
        <w:div w:id="1224220058">
          <w:marLeft w:val="0"/>
          <w:marRight w:val="0"/>
          <w:marTop w:val="0"/>
          <w:marBottom w:val="0"/>
          <w:divBdr>
            <w:top w:val="none" w:sz="0" w:space="0" w:color="auto"/>
            <w:left w:val="none" w:sz="0" w:space="0" w:color="auto"/>
            <w:bottom w:val="none" w:sz="0" w:space="0" w:color="auto"/>
            <w:right w:val="none" w:sz="0" w:space="0" w:color="auto"/>
          </w:divBdr>
        </w:div>
        <w:div w:id="742800513">
          <w:marLeft w:val="0"/>
          <w:marRight w:val="0"/>
          <w:marTop w:val="0"/>
          <w:marBottom w:val="0"/>
          <w:divBdr>
            <w:top w:val="none" w:sz="0" w:space="0" w:color="auto"/>
            <w:left w:val="none" w:sz="0" w:space="0" w:color="auto"/>
            <w:bottom w:val="none" w:sz="0" w:space="0" w:color="auto"/>
            <w:right w:val="none" w:sz="0" w:space="0" w:color="auto"/>
          </w:divBdr>
        </w:div>
        <w:div w:id="698967821">
          <w:marLeft w:val="0"/>
          <w:marRight w:val="0"/>
          <w:marTop w:val="0"/>
          <w:marBottom w:val="0"/>
          <w:divBdr>
            <w:top w:val="none" w:sz="0" w:space="0" w:color="auto"/>
            <w:left w:val="none" w:sz="0" w:space="0" w:color="auto"/>
            <w:bottom w:val="none" w:sz="0" w:space="0" w:color="auto"/>
            <w:right w:val="none" w:sz="0" w:space="0" w:color="auto"/>
          </w:divBdr>
        </w:div>
        <w:div w:id="2062821536">
          <w:marLeft w:val="0"/>
          <w:marRight w:val="0"/>
          <w:marTop w:val="0"/>
          <w:marBottom w:val="0"/>
          <w:divBdr>
            <w:top w:val="none" w:sz="0" w:space="0" w:color="auto"/>
            <w:left w:val="none" w:sz="0" w:space="0" w:color="auto"/>
            <w:bottom w:val="none" w:sz="0" w:space="0" w:color="auto"/>
            <w:right w:val="none" w:sz="0" w:space="0" w:color="auto"/>
          </w:divBdr>
        </w:div>
        <w:div w:id="538250861">
          <w:marLeft w:val="0"/>
          <w:marRight w:val="0"/>
          <w:marTop w:val="0"/>
          <w:marBottom w:val="0"/>
          <w:divBdr>
            <w:top w:val="none" w:sz="0" w:space="0" w:color="auto"/>
            <w:left w:val="none" w:sz="0" w:space="0" w:color="auto"/>
            <w:bottom w:val="none" w:sz="0" w:space="0" w:color="auto"/>
            <w:right w:val="none" w:sz="0" w:space="0" w:color="auto"/>
          </w:divBdr>
        </w:div>
        <w:div w:id="2042827564">
          <w:marLeft w:val="0"/>
          <w:marRight w:val="0"/>
          <w:marTop w:val="0"/>
          <w:marBottom w:val="0"/>
          <w:divBdr>
            <w:top w:val="none" w:sz="0" w:space="0" w:color="auto"/>
            <w:left w:val="none" w:sz="0" w:space="0" w:color="auto"/>
            <w:bottom w:val="none" w:sz="0" w:space="0" w:color="auto"/>
            <w:right w:val="none" w:sz="0" w:space="0" w:color="auto"/>
          </w:divBdr>
        </w:div>
        <w:div w:id="5257579">
          <w:marLeft w:val="0"/>
          <w:marRight w:val="0"/>
          <w:marTop w:val="0"/>
          <w:marBottom w:val="0"/>
          <w:divBdr>
            <w:top w:val="none" w:sz="0" w:space="0" w:color="auto"/>
            <w:left w:val="none" w:sz="0" w:space="0" w:color="auto"/>
            <w:bottom w:val="none" w:sz="0" w:space="0" w:color="auto"/>
            <w:right w:val="none" w:sz="0" w:space="0" w:color="auto"/>
          </w:divBdr>
        </w:div>
        <w:div w:id="1198156952">
          <w:marLeft w:val="0"/>
          <w:marRight w:val="0"/>
          <w:marTop w:val="0"/>
          <w:marBottom w:val="0"/>
          <w:divBdr>
            <w:top w:val="none" w:sz="0" w:space="0" w:color="auto"/>
            <w:left w:val="none" w:sz="0" w:space="0" w:color="auto"/>
            <w:bottom w:val="none" w:sz="0" w:space="0" w:color="auto"/>
            <w:right w:val="none" w:sz="0" w:space="0" w:color="auto"/>
          </w:divBdr>
        </w:div>
        <w:div w:id="803081018">
          <w:marLeft w:val="0"/>
          <w:marRight w:val="0"/>
          <w:marTop w:val="0"/>
          <w:marBottom w:val="0"/>
          <w:divBdr>
            <w:top w:val="none" w:sz="0" w:space="0" w:color="auto"/>
            <w:left w:val="none" w:sz="0" w:space="0" w:color="auto"/>
            <w:bottom w:val="none" w:sz="0" w:space="0" w:color="auto"/>
            <w:right w:val="none" w:sz="0" w:space="0" w:color="auto"/>
          </w:divBdr>
        </w:div>
        <w:div w:id="713778064">
          <w:marLeft w:val="0"/>
          <w:marRight w:val="0"/>
          <w:marTop w:val="0"/>
          <w:marBottom w:val="0"/>
          <w:divBdr>
            <w:top w:val="none" w:sz="0" w:space="0" w:color="auto"/>
            <w:left w:val="none" w:sz="0" w:space="0" w:color="auto"/>
            <w:bottom w:val="none" w:sz="0" w:space="0" w:color="auto"/>
            <w:right w:val="none" w:sz="0" w:space="0" w:color="auto"/>
          </w:divBdr>
        </w:div>
        <w:div w:id="990207632">
          <w:marLeft w:val="0"/>
          <w:marRight w:val="0"/>
          <w:marTop w:val="0"/>
          <w:marBottom w:val="0"/>
          <w:divBdr>
            <w:top w:val="none" w:sz="0" w:space="0" w:color="auto"/>
            <w:left w:val="none" w:sz="0" w:space="0" w:color="auto"/>
            <w:bottom w:val="none" w:sz="0" w:space="0" w:color="auto"/>
            <w:right w:val="none" w:sz="0" w:space="0" w:color="auto"/>
          </w:divBdr>
        </w:div>
        <w:div w:id="1267078250">
          <w:marLeft w:val="0"/>
          <w:marRight w:val="0"/>
          <w:marTop w:val="0"/>
          <w:marBottom w:val="0"/>
          <w:divBdr>
            <w:top w:val="none" w:sz="0" w:space="0" w:color="auto"/>
            <w:left w:val="none" w:sz="0" w:space="0" w:color="auto"/>
            <w:bottom w:val="none" w:sz="0" w:space="0" w:color="auto"/>
            <w:right w:val="none" w:sz="0" w:space="0" w:color="auto"/>
          </w:divBdr>
        </w:div>
        <w:div w:id="826166343">
          <w:marLeft w:val="0"/>
          <w:marRight w:val="0"/>
          <w:marTop w:val="0"/>
          <w:marBottom w:val="0"/>
          <w:divBdr>
            <w:top w:val="none" w:sz="0" w:space="0" w:color="auto"/>
            <w:left w:val="none" w:sz="0" w:space="0" w:color="auto"/>
            <w:bottom w:val="none" w:sz="0" w:space="0" w:color="auto"/>
            <w:right w:val="none" w:sz="0" w:space="0" w:color="auto"/>
          </w:divBdr>
        </w:div>
        <w:div w:id="1886943762">
          <w:marLeft w:val="0"/>
          <w:marRight w:val="0"/>
          <w:marTop w:val="0"/>
          <w:marBottom w:val="0"/>
          <w:divBdr>
            <w:top w:val="none" w:sz="0" w:space="0" w:color="auto"/>
            <w:left w:val="none" w:sz="0" w:space="0" w:color="auto"/>
            <w:bottom w:val="none" w:sz="0" w:space="0" w:color="auto"/>
            <w:right w:val="none" w:sz="0" w:space="0" w:color="auto"/>
          </w:divBdr>
        </w:div>
        <w:div w:id="892935399">
          <w:marLeft w:val="0"/>
          <w:marRight w:val="0"/>
          <w:marTop w:val="0"/>
          <w:marBottom w:val="0"/>
          <w:divBdr>
            <w:top w:val="none" w:sz="0" w:space="0" w:color="auto"/>
            <w:left w:val="none" w:sz="0" w:space="0" w:color="auto"/>
            <w:bottom w:val="none" w:sz="0" w:space="0" w:color="auto"/>
            <w:right w:val="none" w:sz="0" w:space="0" w:color="auto"/>
          </w:divBdr>
        </w:div>
        <w:div w:id="1446265074">
          <w:marLeft w:val="0"/>
          <w:marRight w:val="0"/>
          <w:marTop w:val="0"/>
          <w:marBottom w:val="0"/>
          <w:divBdr>
            <w:top w:val="none" w:sz="0" w:space="0" w:color="auto"/>
            <w:left w:val="none" w:sz="0" w:space="0" w:color="auto"/>
            <w:bottom w:val="none" w:sz="0" w:space="0" w:color="auto"/>
            <w:right w:val="none" w:sz="0" w:space="0" w:color="auto"/>
          </w:divBdr>
        </w:div>
        <w:div w:id="323363070">
          <w:marLeft w:val="0"/>
          <w:marRight w:val="0"/>
          <w:marTop w:val="0"/>
          <w:marBottom w:val="0"/>
          <w:divBdr>
            <w:top w:val="none" w:sz="0" w:space="0" w:color="auto"/>
            <w:left w:val="none" w:sz="0" w:space="0" w:color="auto"/>
            <w:bottom w:val="none" w:sz="0" w:space="0" w:color="auto"/>
            <w:right w:val="none" w:sz="0" w:space="0" w:color="auto"/>
          </w:divBdr>
        </w:div>
        <w:div w:id="1189106670">
          <w:marLeft w:val="0"/>
          <w:marRight w:val="0"/>
          <w:marTop w:val="0"/>
          <w:marBottom w:val="0"/>
          <w:divBdr>
            <w:top w:val="none" w:sz="0" w:space="0" w:color="auto"/>
            <w:left w:val="none" w:sz="0" w:space="0" w:color="auto"/>
            <w:bottom w:val="none" w:sz="0" w:space="0" w:color="auto"/>
            <w:right w:val="none" w:sz="0" w:space="0" w:color="auto"/>
          </w:divBdr>
        </w:div>
        <w:div w:id="33039086">
          <w:marLeft w:val="0"/>
          <w:marRight w:val="0"/>
          <w:marTop w:val="0"/>
          <w:marBottom w:val="0"/>
          <w:divBdr>
            <w:top w:val="none" w:sz="0" w:space="0" w:color="auto"/>
            <w:left w:val="none" w:sz="0" w:space="0" w:color="auto"/>
            <w:bottom w:val="none" w:sz="0" w:space="0" w:color="auto"/>
            <w:right w:val="none" w:sz="0" w:space="0" w:color="auto"/>
          </w:divBdr>
        </w:div>
        <w:div w:id="567425515">
          <w:marLeft w:val="0"/>
          <w:marRight w:val="0"/>
          <w:marTop w:val="0"/>
          <w:marBottom w:val="0"/>
          <w:divBdr>
            <w:top w:val="none" w:sz="0" w:space="0" w:color="auto"/>
            <w:left w:val="none" w:sz="0" w:space="0" w:color="auto"/>
            <w:bottom w:val="none" w:sz="0" w:space="0" w:color="auto"/>
            <w:right w:val="none" w:sz="0" w:space="0" w:color="auto"/>
          </w:divBdr>
        </w:div>
        <w:div w:id="56243592">
          <w:marLeft w:val="0"/>
          <w:marRight w:val="0"/>
          <w:marTop w:val="0"/>
          <w:marBottom w:val="0"/>
          <w:divBdr>
            <w:top w:val="none" w:sz="0" w:space="0" w:color="auto"/>
            <w:left w:val="none" w:sz="0" w:space="0" w:color="auto"/>
            <w:bottom w:val="none" w:sz="0" w:space="0" w:color="auto"/>
            <w:right w:val="none" w:sz="0" w:space="0" w:color="auto"/>
          </w:divBdr>
        </w:div>
        <w:div w:id="898974932">
          <w:marLeft w:val="0"/>
          <w:marRight w:val="0"/>
          <w:marTop w:val="0"/>
          <w:marBottom w:val="0"/>
          <w:divBdr>
            <w:top w:val="none" w:sz="0" w:space="0" w:color="auto"/>
            <w:left w:val="none" w:sz="0" w:space="0" w:color="auto"/>
            <w:bottom w:val="none" w:sz="0" w:space="0" w:color="auto"/>
            <w:right w:val="none" w:sz="0" w:space="0" w:color="auto"/>
          </w:divBdr>
        </w:div>
        <w:div w:id="362706232">
          <w:marLeft w:val="0"/>
          <w:marRight w:val="0"/>
          <w:marTop w:val="0"/>
          <w:marBottom w:val="0"/>
          <w:divBdr>
            <w:top w:val="none" w:sz="0" w:space="0" w:color="auto"/>
            <w:left w:val="none" w:sz="0" w:space="0" w:color="auto"/>
            <w:bottom w:val="none" w:sz="0" w:space="0" w:color="auto"/>
            <w:right w:val="none" w:sz="0" w:space="0" w:color="auto"/>
          </w:divBdr>
        </w:div>
        <w:div w:id="240335761">
          <w:marLeft w:val="0"/>
          <w:marRight w:val="0"/>
          <w:marTop w:val="0"/>
          <w:marBottom w:val="0"/>
          <w:divBdr>
            <w:top w:val="none" w:sz="0" w:space="0" w:color="auto"/>
            <w:left w:val="none" w:sz="0" w:space="0" w:color="auto"/>
            <w:bottom w:val="none" w:sz="0" w:space="0" w:color="auto"/>
            <w:right w:val="none" w:sz="0" w:space="0" w:color="auto"/>
          </w:divBdr>
        </w:div>
        <w:div w:id="1009988120">
          <w:marLeft w:val="0"/>
          <w:marRight w:val="0"/>
          <w:marTop w:val="0"/>
          <w:marBottom w:val="0"/>
          <w:divBdr>
            <w:top w:val="none" w:sz="0" w:space="0" w:color="auto"/>
            <w:left w:val="none" w:sz="0" w:space="0" w:color="auto"/>
            <w:bottom w:val="none" w:sz="0" w:space="0" w:color="auto"/>
            <w:right w:val="none" w:sz="0" w:space="0" w:color="auto"/>
          </w:divBdr>
        </w:div>
        <w:div w:id="1639265796">
          <w:marLeft w:val="0"/>
          <w:marRight w:val="0"/>
          <w:marTop w:val="0"/>
          <w:marBottom w:val="0"/>
          <w:divBdr>
            <w:top w:val="none" w:sz="0" w:space="0" w:color="auto"/>
            <w:left w:val="none" w:sz="0" w:space="0" w:color="auto"/>
            <w:bottom w:val="none" w:sz="0" w:space="0" w:color="auto"/>
            <w:right w:val="none" w:sz="0" w:space="0" w:color="auto"/>
          </w:divBdr>
        </w:div>
        <w:div w:id="1471440434">
          <w:marLeft w:val="0"/>
          <w:marRight w:val="0"/>
          <w:marTop w:val="0"/>
          <w:marBottom w:val="0"/>
          <w:divBdr>
            <w:top w:val="none" w:sz="0" w:space="0" w:color="auto"/>
            <w:left w:val="none" w:sz="0" w:space="0" w:color="auto"/>
            <w:bottom w:val="none" w:sz="0" w:space="0" w:color="auto"/>
            <w:right w:val="none" w:sz="0" w:space="0" w:color="auto"/>
          </w:divBdr>
        </w:div>
        <w:div w:id="1124231280">
          <w:marLeft w:val="0"/>
          <w:marRight w:val="0"/>
          <w:marTop w:val="0"/>
          <w:marBottom w:val="0"/>
          <w:divBdr>
            <w:top w:val="none" w:sz="0" w:space="0" w:color="auto"/>
            <w:left w:val="none" w:sz="0" w:space="0" w:color="auto"/>
            <w:bottom w:val="none" w:sz="0" w:space="0" w:color="auto"/>
            <w:right w:val="none" w:sz="0" w:space="0" w:color="auto"/>
          </w:divBdr>
        </w:div>
        <w:div w:id="673844318">
          <w:marLeft w:val="0"/>
          <w:marRight w:val="0"/>
          <w:marTop w:val="0"/>
          <w:marBottom w:val="0"/>
          <w:divBdr>
            <w:top w:val="none" w:sz="0" w:space="0" w:color="auto"/>
            <w:left w:val="none" w:sz="0" w:space="0" w:color="auto"/>
            <w:bottom w:val="none" w:sz="0" w:space="0" w:color="auto"/>
            <w:right w:val="none" w:sz="0" w:space="0" w:color="auto"/>
          </w:divBdr>
        </w:div>
        <w:div w:id="170727123">
          <w:marLeft w:val="0"/>
          <w:marRight w:val="0"/>
          <w:marTop w:val="0"/>
          <w:marBottom w:val="0"/>
          <w:divBdr>
            <w:top w:val="none" w:sz="0" w:space="0" w:color="auto"/>
            <w:left w:val="none" w:sz="0" w:space="0" w:color="auto"/>
            <w:bottom w:val="none" w:sz="0" w:space="0" w:color="auto"/>
            <w:right w:val="none" w:sz="0" w:space="0" w:color="auto"/>
          </w:divBdr>
        </w:div>
        <w:div w:id="564069501">
          <w:marLeft w:val="0"/>
          <w:marRight w:val="0"/>
          <w:marTop w:val="0"/>
          <w:marBottom w:val="0"/>
          <w:divBdr>
            <w:top w:val="none" w:sz="0" w:space="0" w:color="auto"/>
            <w:left w:val="none" w:sz="0" w:space="0" w:color="auto"/>
            <w:bottom w:val="none" w:sz="0" w:space="0" w:color="auto"/>
            <w:right w:val="none" w:sz="0" w:space="0" w:color="auto"/>
          </w:divBdr>
        </w:div>
        <w:div w:id="881937498">
          <w:marLeft w:val="0"/>
          <w:marRight w:val="0"/>
          <w:marTop w:val="0"/>
          <w:marBottom w:val="0"/>
          <w:divBdr>
            <w:top w:val="none" w:sz="0" w:space="0" w:color="auto"/>
            <w:left w:val="none" w:sz="0" w:space="0" w:color="auto"/>
            <w:bottom w:val="none" w:sz="0" w:space="0" w:color="auto"/>
            <w:right w:val="none" w:sz="0" w:space="0" w:color="auto"/>
          </w:divBdr>
        </w:div>
        <w:div w:id="613095110">
          <w:marLeft w:val="0"/>
          <w:marRight w:val="0"/>
          <w:marTop w:val="0"/>
          <w:marBottom w:val="0"/>
          <w:divBdr>
            <w:top w:val="none" w:sz="0" w:space="0" w:color="auto"/>
            <w:left w:val="none" w:sz="0" w:space="0" w:color="auto"/>
            <w:bottom w:val="none" w:sz="0" w:space="0" w:color="auto"/>
            <w:right w:val="none" w:sz="0" w:space="0" w:color="auto"/>
          </w:divBdr>
        </w:div>
        <w:div w:id="962005772">
          <w:marLeft w:val="0"/>
          <w:marRight w:val="0"/>
          <w:marTop w:val="0"/>
          <w:marBottom w:val="0"/>
          <w:divBdr>
            <w:top w:val="none" w:sz="0" w:space="0" w:color="auto"/>
            <w:left w:val="none" w:sz="0" w:space="0" w:color="auto"/>
            <w:bottom w:val="none" w:sz="0" w:space="0" w:color="auto"/>
            <w:right w:val="none" w:sz="0" w:space="0" w:color="auto"/>
          </w:divBdr>
        </w:div>
        <w:div w:id="1706369505">
          <w:marLeft w:val="0"/>
          <w:marRight w:val="0"/>
          <w:marTop w:val="0"/>
          <w:marBottom w:val="0"/>
          <w:divBdr>
            <w:top w:val="none" w:sz="0" w:space="0" w:color="auto"/>
            <w:left w:val="none" w:sz="0" w:space="0" w:color="auto"/>
            <w:bottom w:val="none" w:sz="0" w:space="0" w:color="auto"/>
            <w:right w:val="none" w:sz="0" w:space="0" w:color="auto"/>
          </w:divBdr>
        </w:div>
        <w:div w:id="1167554511">
          <w:marLeft w:val="0"/>
          <w:marRight w:val="0"/>
          <w:marTop w:val="0"/>
          <w:marBottom w:val="0"/>
          <w:divBdr>
            <w:top w:val="none" w:sz="0" w:space="0" w:color="auto"/>
            <w:left w:val="none" w:sz="0" w:space="0" w:color="auto"/>
            <w:bottom w:val="none" w:sz="0" w:space="0" w:color="auto"/>
            <w:right w:val="none" w:sz="0" w:space="0" w:color="auto"/>
          </w:divBdr>
        </w:div>
        <w:div w:id="2098089094">
          <w:marLeft w:val="0"/>
          <w:marRight w:val="0"/>
          <w:marTop w:val="0"/>
          <w:marBottom w:val="0"/>
          <w:divBdr>
            <w:top w:val="none" w:sz="0" w:space="0" w:color="auto"/>
            <w:left w:val="none" w:sz="0" w:space="0" w:color="auto"/>
            <w:bottom w:val="none" w:sz="0" w:space="0" w:color="auto"/>
            <w:right w:val="none" w:sz="0" w:space="0" w:color="auto"/>
          </w:divBdr>
        </w:div>
        <w:div w:id="1330015789">
          <w:marLeft w:val="0"/>
          <w:marRight w:val="0"/>
          <w:marTop w:val="0"/>
          <w:marBottom w:val="0"/>
          <w:divBdr>
            <w:top w:val="none" w:sz="0" w:space="0" w:color="auto"/>
            <w:left w:val="none" w:sz="0" w:space="0" w:color="auto"/>
            <w:bottom w:val="none" w:sz="0" w:space="0" w:color="auto"/>
            <w:right w:val="none" w:sz="0" w:space="0" w:color="auto"/>
          </w:divBdr>
        </w:div>
        <w:div w:id="1701542303">
          <w:marLeft w:val="0"/>
          <w:marRight w:val="0"/>
          <w:marTop w:val="0"/>
          <w:marBottom w:val="0"/>
          <w:divBdr>
            <w:top w:val="none" w:sz="0" w:space="0" w:color="auto"/>
            <w:left w:val="none" w:sz="0" w:space="0" w:color="auto"/>
            <w:bottom w:val="none" w:sz="0" w:space="0" w:color="auto"/>
            <w:right w:val="none" w:sz="0" w:space="0" w:color="auto"/>
          </w:divBdr>
        </w:div>
        <w:div w:id="1852378335">
          <w:marLeft w:val="0"/>
          <w:marRight w:val="0"/>
          <w:marTop w:val="0"/>
          <w:marBottom w:val="0"/>
          <w:divBdr>
            <w:top w:val="none" w:sz="0" w:space="0" w:color="auto"/>
            <w:left w:val="none" w:sz="0" w:space="0" w:color="auto"/>
            <w:bottom w:val="none" w:sz="0" w:space="0" w:color="auto"/>
            <w:right w:val="none" w:sz="0" w:space="0" w:color="auto"/>
          </w:divBdr>
        </w:div>
      </w:divsChild>
    </w:div>
    <w:div w:id="165761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B24D5-11DA-4199-BF16-E00E3910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2418</Words>
  <Characters>13061</Characters>
  <Application>Microsoft Office Word</Application>
  <DocSecurity>4</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ax5u068</dc:creator>
  <cp:lastModifiedBy>Konstantinos Voltis</cp:lastModifiedBy>
  <cp:revision>2</cp:revision>
  <cp:lastPrinted>2017-08-02T09:09:00Z</cp:lastPrinted>
  <dcterms:created xsi:type="dcterms:W3CDTF">2019-02-25T08:02:00Z</dcterms:created>
  <dcterms:modified xsi:type="dcterms:W3CDTF">2019-02-25T08:02:00Z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Microsoft® Office Word 2007</vt:lpwstr>
  </property>
  <property fmtid="{D5CDD505-2E9C-101B-9397-08002B2CF9AE}" pid="4" name="LastSaved">
    <vt:filetime>2017-05-30T00:00:00Z</vt:filetime>
  </property>
</Properties>
</file>